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F6C6D" w14:textId="77777777" w:rsidR="004C1092" w:rsidRPr="0036044B" w:rsidRDefault="004C1092" w:rsidP="0036044B">
      <w:pPr>
        <w:pStyle w:val="Title"/>
        <w:spacing w:after="120" w:line="240" w:lineRule="auto"/>
        <w:jc w:val="left"/>
        <w:rPr>
          <w:sz w:val="24"/>
          <w:szCs w:val="24"/>
        </w:rPr>
      </w:pPr>
    </w:p>
    <w:p w14:paraId="39FCDFA5" w14:textId="250346D5" w:rsidR="0064777F" w:rsidRPr="0036044B" w:rsidRDefault="0064777F" w:rsidP="0036044B">
      <w:pPr>
        <w:pStyle w:val="Title"/>
        <w:spacing w:after="120" w:line="240" w:lineRule="auto"/>
        <w:rPr>
          <w:sz w:val="24"/>
          <w:szCs w:val="24"/>
        </w:rPr>
      </w:pPr>
      <w:r w:rsidRPr="0036044B">
        <w:rPr>
          <w:sz w:val="24"/>
          <w:szCs w:val="24"/>
        </w:rPr>
        <w:t>NOTĂ DE FUNDAMENTARE</w:t>
      </w:r>
    </w:p>
    <w:p w14:paraId="5D18789B" w14:textId="77777777" w:rsidR="00490610" w:rsidRPr="0036044B" w:rsidRDefault="00490610" w:rsidP="0036044B">
      <w:pPr>
        <w:pStyle w:val="Title"/>
        <w:spacing w:after="120" w:line="240" w:lineRule="auto"/>
        <w:ind w:firstLine="720"/>
        <w:jc w:val="left"/>
        <w:rPr>
          <w:sz w:val="24"/>
          <w:szCs w:val="24"/>
        </w:rPr>
      </w:pPr>
    </w:p>
    <w:p w14:paraId="0448C4F0" w14:textId="4AC4059F" w:rsidR="00223491" w:rsidRPr="0036044B" w:rsidRDefault="00223491" w:rsidP="0036044B">
      <w:pPr>
        <w:pStyle w:val="Title"/>
        <w:spacing w:after="120" w:line="240" w:lineRule="auto"/>
        <w:ind w:firstLine="720"/>
        <w:jc w:val="left"/>
        <w:rPr>
          <w:sz w:val="24"/>
          <w:szCs w:val="24"/>
        </w:rPr>
      </w:pPr>
      <w:r w:rsidRPr="0036044B">
        <w:rPr>
          <w:sz w:val="24"/>
          <w:szCs w:val="24"/>
        </w:rPr>
        <w:t>Secțiunea 1</w:t>
      </w:r>
    </w:p>
    <w:p w14:paraId="78C75447" w14:textId="76B7EDCC" w:rsidR="00223491" w:rsidRPr="0036044B" w:rsidRDefault="00223491" w:rsidP="0036044B">
      <w:pPr>
        <w:pStyle w:val="Title"/>
        <w:spacing w:after="120" w:line="240" w:lineRule="auto"/>
        <w:ind w:firstLine="720"/>
        <w:jc w:val="left"/>
        <w:rPr>
          <w:sz w:val="24"/>
          <w:szCs w:val="24"/>
        </w:rPr>
      </w:pPr>
      <w:r w:rsidRPr="0036044B">
        <w:rPr>
          <w:sz w:val="24"/>
          <w:szCs w:val="24"/>
        </w:rPr>
        <w:t>Titlul proiectului de act normativ</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0"/>
      </w:tblGrid>
      <w:tr w:rsidR="002B2AD7" w:rsidRPr="0036044B" w14:paraId="117C71DD" w14:textId="77777777" w:rsidTr="00223491">
        <w:tc>
          <w:tcPr>
            <w:tcW w:w="10490" w:type="dxa"/>
          </w:tcPr>
          <w:p w14:paraId="0305068A" w14:textId="7676E88B" w:rsidR="00490610" w:rsidRPr="0036044B" w:rsidRDefault="00490610" w:rsidP="0036044B">
            <w:pPr>
              <w:jc w:val="center"/>
              <w:rPr>
                <w:b/>
                <w:bCs/>
              </w:rPr>
            </w:pPr>
            <w:r w:rsidRPr="0036044B">
              <w:rPr>
                <w:b/>
                <w:bCs/>
              </w:rPr>
              <w:t>Ordonanță Privind unele măsuri pentru îndeplinirea jaloanelor și țintelor din Planul Național de Redresare și Reziliență al României, precum și pentru modificarea și completarea unor acte normative în domeniu</w:t>
            </w:r>
          </w:p>
          <w:p w14:paraId="338F09EC" w14:textId="6868C3C6" w:rsidR="00670C79" w:rsidRPr="0036044B" w:rsidRDefault="00670C79" w:rsidP="0036044B">
            <w:pPr>
              <w:widowControl w:val="0"/>
              <w:spacing w:after="120"/>
              <w:rPr>
                <w:b/>
                <w:lang w:eastAsia="ro-RO"/>
              </w:rPr>
            </w:pPr>
          </w:p>
        </w:tc>
      </w:tr>
    </w:tbl>
    <w:p w14:paraId="2CE089BE" w14:textId="7BDFBE6D" w:rsidR="00BC6BCA" w:rsidRPr="0036044B" w:rsidRDefault="00BC6BCA" w:rsidP="0036044B">
      <w:pPr>
        <w:spacing w:after="120"/>
        <w:rPr>
          <w:b/>
          <w:lang w:eastAsia="ro-RO"/>
        </w:rPr>
      </w:pPr>
    </w:p>
    <w:p w14:paraId="33C1CD30" w14:textId="77777777" w:rsidR="00223491" w:rsidRPr="0036044B" w:rsidRDefault="00C5468F" w:rsidP="0036044B">
      <w:pPr>
        <w:spacing w:after="120"/>
        <w:ind w:firstLine="720"/>
        <w:jc w:val="both"/>
        <w:rPr>
          <w:b/>
          <w:lang w:eastAsia="ro-RO"/>
        </w:rPr>
      </w:pPr>
      <w:r w:rsidRPr="0036044B">
        <w:rPr>
          <w:b/>
          <w:lang w:eastAsia="ro-RO"/>
        </w:rPr>
        <w:t>Secțiunea</w:t>
      </w:r>
      <w:r w:rsidR="00670C79" w:rsidRPr="0036044B">
        <w:rPr>
          <w:b/>
          <w:lang w:eastAsia="ro-RO"/>
        </w:rPr>
        <w:t xml:space="preserve"> a 2-a  </w:t>
      </w:r>
    </w:p>
    <w:p w14:paraId="23181ACA" w14:textId="4A5ED943" w:rsidR="00CB78C4" w:rsidRPr="0036044B" w:rsidRDefault="00670C79" w:rsidP="0036044B">
      <w:pPr>
        <w:spacing w:after="120"/>
        <w:ind w:firstLine="720"/>
        <w:jc w:val="both"/>
        <w:rPr>
          <w:b/>
          <w:lang w:eastAsia="ro-RO"/>
        </w:rPr>
      </w:pPr>
      <w:r w:rsidRPr="0036044B">
        <w:rPr>
          <w:b/>
          <w:lang w:eastAsia="ro-RO"/>
        </w:rPr>
        <w:t>Motivul emiterii actului normativ</w:t>
      </w:r>
      <w:r w:rsidR="0066428B" w:rsidRPr="0036044B">
        <w:rPr>
          <w:b/>
          <w:lang w:eastAsia="ro-RO"/>
        </w:rPr>
        <w:t xml:space="preserve"> </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0"/>
      </w:tblGrid>
      <w:tr w:rsidR="002B2AD7" w:rsidRPr="0036044B" w14:paraId="47D7FD1D" w14:textId="77777777" w:rsidTr="00E669C2">
        <w:trPr>
          <w:trHeight w:val="841"/>
        </w:trPr>
        <w:tc>
          <w:tcPr>
            <w:tcW w:w="10490" w:type="dxa"/>
          </w:tcPr>
          <w:p w14:paraId="083EB0F1" w14:textId="77777777" w:rsidR="008441CD" w:rsidRPr="0036044B" w:rsidRDefault="00223491" w:rsidP="0036044B">
            <w:pPr>
              <w:autoSpaceDE w:val="0"/>
              <w:autoSpaceDN w:val="0"/>
              <w:adjustRightInd w:val="0"/>
              <w:spacing w:after="120"/>
              <w:jc w:val="both"/>
              <w:rPr>
                <w:lang w:eastAsia="ro-RO"/>
              </w:rPr>
            </w:pPr>
            <w:r w:rsidRPr="0036044B">
              <w:rPr>
                <w:b/>
                <w:lang w:eastAsia="ro-RO"/>
              </w:rPr>
              <w:t>2.1 Sursa proiectului de act normativ</w:t>
            </w:r>
            <w:r w:rsidRPr="0036044B">
              <w:rPr>
                <w:lang w:eastAsia="ro-RO"/>
              </w:rPr>
              <w:t xml:space="preserve"> </w:t>
            </w:r>
          </w:p>
          <w:p w14:paraId="1B54570E" w14:textId="696F18D8" w:rsidR="005B3CAB" w:rsidRPr="0036044B" w:rsidRDefault="00490610" w:rsidP="0036044B">
            <w:pPr>
              <w:pStyle w:val="NormalWeb"/>
              <w:numPr>
                <w:ilvl w:val="0"/>
                <w:numId w:val="14"/>
              </w:numPr>
              <w:spacing w:before="0" w:beforeAutospacing="0" w:after="0" w:afterAutospacing="0"/>
              <w:jc w:val="both"/>
            </w:pPr>
            <w:r w:rsidRPr="0036044B">
              <w:t>Planul național de redresare și reziliență al României (PNRR) reprezintă documentul strategic al României care fundamentează prioritățile de reformă și domeniile de investiții pentru aplicarea Mecanismului de redresare și rez</w:t>
            </w:r>
            <w:r w:rsidR="005B3CAB" w:rsidRPr="0036044B">
              <w:t>iliență - MRR la nivel național;</w:t>
            </w:r>
            <w:r w:rsidRPr="0036044B">
              <w:t xml:space="preserve"> </w:t>
            </w:r>
          </w:p>
          <w:p w14:paraId="11115C99" w14:textId="6FFDB5D4" w:rsidR="005B3CAB" w:rsidRPr="0036044B" w:rsidRDefault="005B3CAB" w:rsidP="0036044B">
            <w:pPr>
              <w:pStyle w:val="NormalWeb"/>
              <w:numPr>
                <w:ilvl w:val="0"/>
                <w:numId w:val="14"/>
              </w:numPr>
              <w:spacing w:before="0" w:beforeAutospacing="0" w:after="0" w:afterAutospacing="0"/>
              <w:jc w:val="both"/>
              <w:rPr>
                <w:bCs/>
              </w:rPr>
            </w:pPr>
            <w:r w:rsidRPr="0036044B">
              <w:t xml:space="preserve">Decizia de punere în aplicare a Consiliului din 3 noiembrie 2021 de aprobare a evaluării planului de redresare </w:t>
            </w:r>
            <w:proofErr w:type="spellStart"/>
            <w:r w:rsidRPr="0036044B">
              <w:t>şi</w:t>
            </w:r>
            <w:proofErr w:type="spellEnd"/>
            <w:r w:rsidRPr="0036044B">
              <w:t xml:space="preserve"> </w:t>
            </w:r>
            <w:proofErr w:type="spellStart"/>
            <w:r w:rsidRPr="0036044B">
              <w:t>rezilienţă</w:t>
            </w:r>
            <w:proofErr w:type="spellEnd"/>
            <w:r w:rsidRPr="0036044B">
              <w:t xml:space="preserve"> al României;</w:t>
            </w:r>
            <w:r w:rsidRPr="0036044B">
              <w:rPr>
                <w:bCs/>
              </w:rPr>
              <w:t xml:space="preserve"> </w:t>
            </w:r>
          </w:p>
          <w:p w14:paraId="118DAFE7" w14:textId="022D4553" w:rsidR="005B3CAB" w:rsidRPr="0036044B" w:rsidRDefault="005B3CAB" w:rsidP="0036044B">
            <w:pPr>
              <w:pStyle w:val="NormalWeb"/>
              <w:numPr>
                <w:ilvl w:val="0"/>
                <w:numId w:val="14"/>
              </w:numPr>
              <w:spacing w:before="0" w:beforeAutospacing="0" w:after="0" w:afterAutospacing="0"/>
              <w:jc w:val="both"/>
              <w:rPr>
                <w:bCs/>
              </w:rPr>
            </w:pPr>
            <w:r w:rsidRPr="0036044B">
              <w:t xml:space="preserve">Regulamentul (UE) nr. 2021/241 al Parlamentului European și al Consiliului </w:t>
            </w:r>
            <w:r w:rsidRPr="0036044B">
              <w:rPr>
                <w:bCs/>
                <w:iCs/>
              </w:rPr>
              <w:t xml:space="preserve">din 12 februarie 2021 </w:t>
            </w:r>
            <w:r w:rsidRPr="0036044B">
              <w:rPr>
                <w:bCs/>
              </w:rPr>
              <w:t>de instituire a Mecanismului de redresare și reziliență;</w:t>
            </w:r>
          </w:p>
          <w:p w14:paraId="1DC93501" w14:textId="26A6855A" w:rsidR="005B3CAB" w:rsidRPr="0036044B" w:rsidRDefault="005F3164" w:rsidP="0036044B">
            <w:pPr>
              <w:pStyle w:val="NormalWeb"/>
              <w:numPr>
                <w:ilvl w:val="0"/>
                <w:numId w:val="14"/>
              </w:numPr>
              <w:spacing w:before="0" w:beforeAutospacing="0" w:after="0" w:afterAutospacing="0"/>
              <w:jc w:val="both"/>
              <w:rPr>
                <w:bCs/>
              </w:rPr>
            </w:pPr>
            <w:r w:rsidRPr="0036044B">
              <w:rPr>
                <w:bCs/>
              </w:rPr>
              <w:t>Hotărârea Parlamentului</w:t>
            </w:r>
            <w:r w:rsidR="005B3CAB" w:rsidRPr="0036044B">
              <w:rPr>
                <w:bCs/>
              </w:rPr>
              <w:t xml:space="preserve"> nr. 42 din 25 noiembrie 2021 pentru acordarea încrederii Guvernului, capitolul VI</w:t>
            </w:r>
            <w:r w:rsidR="00385668" w:rsidRPr="0036044B">
              <w:rPr>
                <w:bCs/>
              </w:rPr>
              <w:t xml:space="preserve"> Planul Național de Redresare și Reziliență</w:t>
            </w:r>
            <w:r w:rsidR="00575BE0" w:rsidRPr="0036044B">
              <w:rPr>
                <w:bCs/>
              </w:rPr>
              <w:t>.</w:t>
            </w:r>
          </w:p>
          <w:p w14:paraId="36C32531" w14:textId="7A4052E7" w:rsidR="00223491" w:rsidRPr="0036044B" w:rsidRDefault="00223491" w:rsidP="0036044B">
            <w:pPr>
              <w:autoSpaceDE w:val="0"/>
              <w:autoSpaceDN w:val="0"/>
              <w:adjustRightInd w:val="0"/>
              <w:spacing w:after="120"/>
              <w:jc w:val="both"/>
              <w:rPr>
                <w:lang w:eastAsia="ro-RO"/>
              </w:rPr>
            </w:pPr>
          </w:p>
          <w:p w14:paraId="777690A7" w14:textId="77777777" w:rsidR="00223491" w:rsidRPr="0036044B" w:rsidRDefault="00223491" w:rsidP="0036044B">
            <w:pPr>
              <w:autoSpaceDE w:val="0"/>
              <w:autoSpaceDN w:val="0"/>
              <w:adjustRightInd w:val="0"/>
              <w:spacing w:after="120"/>
              <w:jc w:val="both"/>
              <w:rPr>
                <w:b/>
                <w:lang w:eastAsia="ro-RO"/>
              </w:rPr>
            </w:pPr>
            <w:r w:rsidRPr="0036044B">
              <w:rPr>
                <w:b/>
                <w:lang w:eastAsia="ro-RO"/>
              </w:rPr>
              <w:t>2.2 Descrierea situației actuale</w:t>
            </w:r>
          </w:p>
          <w:p w14:paraId="0B03ADD0" w14:textId="77777777" w:rsidR="005D1889" w:rsidRPr="0036044B" w:rsidRDefault="005D1889" w:rsidP="0036044B">
            <w:pPr>
              <w:jc w:val="both"/>
            </w:pPr>
            <w:r w:rsidRPr="0036044B">
              <w:t xml:space="preserve">Planul național de redresare și reziliență al României (PNRR) reprezintă documentul strategic al României care fundamentează prioritățile de reformă și domeniile de investiții pentru aplicarea Mecanismului de redresare și reziliență - MRR la nivel național. Sursa de finanțare este reprezentată de fondurile alocate pentru România în cadrul Mecanismului de redresare și reziliență, aprobat prin Regulamentul (UE) nr. 2021/241 al Parlamentului European și al Consiliului </w:t>
            </w:r>
            <w:r w:rsidRPr="0036044B">
              <w:rPr>
                <w:bCs/>
                <w:iCs/>
              </w:rPr>
              <w:t xml:space="preserve">din 12 februarie 2021 </w:t>
            </w:r>
            <w:r w:rsidRPr="0036044B">
              <w:rPr>
                <w:bCs/>
              </w:rPr>
              <w:t>de instituire a Mecanismului de redresare și reziliență</w:t>
            </w:r>
            <w:r w:rsidRPr="0036044B">
              <w:t>. Scopul final al PNRR este să accelereze implementarea reformelor sustenabile și a investițiilor publice conexe, respectiv asigurarea ameliorării stării economiei naționale după criza generată de COVID-19, creșterea economică și crearea de locuri de muncă necesare pentru incluziunea forței de muncă, sprijinirea tranziției verzi și a celei digitale pentru promovarea creșterii durabile.</w:t>
            </w:r>
          </w:p>
          <w:p w14:paraId="272FAC20" w14:textId="77777777" w:rsidR="005D1889" w:rsidRPr="0036044B" w:rsidRDefault="005D1889" w:rsidP="0036044B">
            <w:pPr>
              <w:jc w:val="both"/>
            </w:pPr>
          </w:p>
          <w:p w14:paraId="6AEB1DDD" w14:textId="77777777" w:rsidR="005D1889" w:rsidRPr="0036044B" w:rsidRDefault="005D1889" w:rsidP="0036044B">
            <w:pPr>
              <w:jc w:val="both"/>
              <w:rPr>
                <w:bCs/>
              </w:rPr>
            </w:pPr>
            <w:r w:rsidRPr="0036044B">
              <w:rPr>
                <w:bCs/>
              </w:rPr>
              <w:t xml:space="preserve">Prin Memorandumul cu tema: Mandatarea MIPE pentru a desfășura procedurile de negociere cu Comisia Europeană, în vederea aprobării Planului național de redresare și reziliență și a cererii de împrumut </w:t>
            </w:r>
            <w:proofErr w:type="spellStart"/>
            <w:r w:rsidRPr="0036044B">
              <w:rPr>
                <w:bCs/>
              </w:rPr>
              <w:t>prevazută</w:t>
            </w:r>
            <w:proofErr w:type="spellEnd"/>
            <w:r w:rsidRPr="0036044B">
              <w:rPr>
                <w:bCs/>
              </w:rPr>
              <w:t xml:space="preserve"> la art. 14 din Regulamentul UE 2021/241 al Parlamentului European si al Consiliului, aprobat în ședința Guvernului din data de 07 aprilie 2021, Guvernul a mandatat Ministerului Investițiilor și Proiectelor Europene (MIPE) pentru a desfășura procedurile de negociere cu Comisia Europeană, în vederea aprobării PNRR </w:t>
            </w:r>
            <w:proofErr w:type="spellStart"/>
            <w:r w:rsidRPr="0036044B">
              <w:rPr>
                <w:bCs/>
              </w:rPr>
              <w:t>şi</w:t>
            </w:r>
            <w:proofErr w:type="spellEnd"/>
            <w:r w:rsidRPr="0036044B">
              <w:rPr>
                <w:bCs/>
              </w:rPr>
              <w:t xml:space="preserve"> a cererii de împrumut prevăzute la art. 14 din </w:t>
            </w:r>
            <w:hyperlink r:id="rId8" w:history="1">
              <w:r w:rsidRPr="0036044B">
                <w:rPr>
                  <w:rStyle w:val="Hyperlink"/>
                  <w:bCs/>
                  <w:color w:val="auto"/>
                </w:rPr>
                <w:t>Regulamentul (UE) nr. 2021/241</w:t>
              </w:r>
            </w:hyperlink>
            <w:r w:rsidRPr="0036044B">
              <w:rPr>
                <w:bCs/>
              </w:rPr>
              <w:t xml:space="preserve"> al Parlamentului European </w:t>
            </w:r>
            <w:proofErr w:type="spellStart"/>
            <w:r w:rsidRPr="0036044B">
              <w:rPr>
                <w:bCs/>
              </w:rPr>
              <w:t>şi</w:t>
            </w:r>
            <w:proofErr w:type="spellEnd"/>
            <w:r w:rsidRPr="0036044B">
              <w:rPr>
                <w:bCs/>
              </w:rPr>
              <w:t xml:space="preserve"> al Consiliului </w:t>
            </w:r>
            <w:r w:rsidRPr="0036044B">
              <w:rPr>
                <w:bCs/>
                <w:iCs/>
              </w:rPr>
              <w:t xml:space="preserve">din 12 februarie 2021 </w:t>
            </w:r>
            <w:r w:rsidRPr="0036044B">
              <w:rPr>
                <w:bCs/>
              </w:rPr>
              <w:t xml:space="preserve">de instituire a Mecanismului de redresare și reziliență. </w:t>
            </w:r>
          </w:p>
          <w:p w14:paraId="58E5AA1C" w14:textId="77777777" w:rsidR="005D1889" w:rsidRPr="0036044B" w:rsidRDefault="005D1889" w:rsidP="0036044B">
            <w:pPr>
              <w:jc w:val="both"/>
              <w:rPr>
                <w:bCs/>
              </w:rPr>
            </w:pPr>
          </w:p>
          <w:p w14:paraId="7DBBD3B4" w14:textId="77777777" w:rsidR="005D1889" w:rsidRPr="0036044B" w:rsidRDefault="005D1889" w:rsidP="0036044B">
            <w:pPr>
              <w:pStyle w:val="NormalWeb"/>
              <w:spacing w:before="0" w:beforeAutospacing="0" w:after="0" w:afterAutospacing="0"/>
              <w:jc w:val="both"/>
              <w:rPr>
                <w:bCs/>
              </w:rPr>
            </w:pPr>
            <w:r w:rsidRPr="0036044B">
              <w:t xml:space="preserve">La data de 27 septembrie 2021, Comisia Europeană (CE) a adoptat evaluarea pozitivă a Planului național de redresare și reziliență (PNRR) al României, </w:t>
            </w:r>
            <w:r w:rsidRPr="0036044B">
              <w:rPr>
                <w:bCs/>
              </w:rPr>
              <w:t xml:space="preserve">în conformitate cu prevederile art. 19 din Regulamentul (UE) nr. 241/2021 al Parlamentului European </w:t>
            </w:r>
            <w:proofErr w:type="spellStart"/>
            <w:r w:rsidRPr="0036044B">
              <w:rPr>
                <w:bCs/>
              </w:rPr>
              <w:t>şi</w:t>
            </w:r>
            <w:proofErr w:type="spellEnd"/>
            <w:r w:rsidRPr="0036044B">
              <w:rPr>
                <w:bCs/>
              </w:rPr>
              <w:t xml:space="preserve"> al Consiliului </w:t>
            </w:r>
            <w:r w:rsidRPr="0036044B">
              <w:rPr>
                <w:bCs/>
                <w:iCs/>
              </w:rPr>
              <w:t xml:space="preserve">din 12 februarie 2021 </w:t>
            </w:r>
            <w:r w:rsidRPr="0036044B">
              <w:rPr>
                <w:bCs/>
              </w:rPr>
              <w:t xml:space="preserve">de instituire a Mecanismului </w:t>
            </w:r>
            <w:r w:rsidRPr="0036044B">
              <w:rPr>
                <w:bCs/>
              </w:rPr>
              <w:lastRenderedPageBreak/>
              <w:t>de redresare și reziliență (MRR). În urma acestei evaluări a fost publicată atât pe website-</w:t>
            </w:r>
            <w:proofErr w:type="spellStart"/>
            <w:r w:rsidRPr="0036044B">
              <w:rPr>
                <w:bCs/>
              </w:rPr>
              <w:t>ul</w:t>
            </w:r>
            <w:proofErr w:type="spellEnd"/>
            <w:r w:rsidRPr="0036044B">
              <w:rPr>
                <w:bCs/>
              </w:rPr>
              <w:t xml:space="preserve"> CE (www.ec.europa.eu), cât și pe website-</w:t>
            </w:r>
            <w:proofErr w:type="spellStart"/>
            <w:r w:rsidRPr="0036044B">
              <w:rPr>
                <w:bCs/>
              </w:rPr>
              <w:t>ul</w:t>
            </w:r>
            <w:proofErr w:type="spellEnd"/>
            <w:r w:rsidRPr="0036044B">
              <w:rPr>
                <w:bCs/>
              </w:rPr>
              <w:t xml:space="preserve"> MIPE (</w:t>
            </w:r>
            <w:hyperlink r:id="rId9" w:history="1">
              <w:r w:rsidRPr="0036044B">
                <w:rPr>
                  <w:rStyle w:val="Hyperlink"/>
                  <w:color w:val="auto"/>
                </w:rPr>
                <w:t>www.mfe.gov.ro</w:t>
              </w:r>
            </w:hyperlink>
            <w:r w:rsidRPr="0036044B">
              <w:t>)</w:t>
            </w:r>
            <w:r w:rsidRPr="0036044B">
              <w:rPr>
                <w:bCs/>
              </w:rPr>
              <w:t xml:space="preserve"> ”</w:t>
            </w:r>
            <w:r w:rsidRPr="0036044B">
              <w:rPr>
                <w:bCs/>
                <w:i/>
                <w:iCs/>
              </w:rPr>
              <w:t xml:space="preserve">Propunerea de decizie de punere în aplicare a Consiliului de aprobare a evaluării planului de redresare și reziliență al României”, </w:t>
            </w:r>
            <w:r w:rsidRPr="0036044B">
              <w:rPr>
                <w:bCs/>
                <w:iCs/>
              </w:rPr>
              <w:t>care stabilește</w:t>
            </w:r>
            <w:r w:rsidRPr="0036044B">
              <w:rPr>
                <w:bCs/>
              </w:rPr>
              <w:t xml:space="preserve"> reformele, investițiile, jaloanele și țintele aferente, precum și contribuțiile financiare alocate acestora, inclusiv modalitatea de finanțare prin acordul de împrumut sau cel privind </w:t>
            </w:r>
            <w:proofErr w:type="spellStart"/>
            <w:r w:rsidRPr="0036044B">
              <w:rPr>
                <w:bCs/>
              </w:rPr>
              <w:t>contributia</w:t>
            </w:r>
            <w:proofErr w:type="spellEnd"/>
            <w:r w:rsidRPr="0036044B">
              <w:rPr>
                <w:bCs/>
              </w:rPr>
              <w:t xml:space="preserve"> financiară în cadrul </w:t>
            </w:r>
            <w:proofErr w:type="spellStart"/>
            <w:r w:rsidRPr="0036044B">
              <w:rPr>
                <w:bCs/>
              </w:rPr>
              <w:t>Mecanimului</w:t>
            </w:r>
            <w:proofErr w:type="spellEnd"/>
            <w:r w:rsidRPr="0036044B">
              <w:rPr>
                <w:bCs/>
              </w:rPr>
              <w:t xml:space="preserve"> de redresare și reziliență. În baza acestei propuneri, Consiliul Uniunii Europene aprobă acest document, cu majoritate calificată, printr-o decizie de punere în aplicare în termen de patru săptămâni de la publicarea propunerii CE. Astfel, în data de 29 octombrie 2021, Consiliului Uniunii Europene a finalizat procedura scrisă pentru aprobarea Deciziei de punere în aplicare a Consiliului de aprobare a evaluării planului național de redresare și reziliență al României, în conformitate cu prevederile art. 20, alin. (7) din Regulamentul (UE) nr. 2021/241 al Parlamentului European </w:t>
            </w:r>
            <w:proofErr w:type="spellStart"/>
            <w:r w:rsidRPr="0036044B">
              <w:rPr>
                <w:bCs/>
              </w:rPr>
              <w:t>şi</w:t>
            </w:r>
            <w:proofErr w:type="spellEnd"/>
            <w:r w:rsidRPr="0036044B">
              <w:rPr>
                <w:bCs/>
              </w:rPr>
              <w:t xml:space="preserve"> al Consiliului </w:t>
            </w:r>
            <w:r w:rsidRPr="0036044B">
              <w:rPr>
                <w:bCs/>
                <w:iCs/>
              </w:rPr>
              <w:t xml:space="preserve">din 12 februarie 2021 </w:t>
            </w:r>
            <w:r w:rsidRPr="0036044B">
              <w:rPr>
                <w:bCs/>
              </w:rPr>
              <w:t xml:space="preserve">de instituire a Mecanismului de redresare și reziliență. </w:t>
            </w:r>
          </w:p>
          <w:p w14:paraId="23B32001" w14:textId="77777777" w:rsidR="005D1889" w:rsidRPr="0036044B" w:rsidRDefault="005D1889" w:rsidP="0036044B">
            <w:pPr>
              <w:jc w:val="both"/>
            </w:pPr>
            <w:r w:rsidRPr="0036044B">
              <w:t xml:space="preserve">CE a evaluat planul României pe baza criteriilor stabilite în Regulamentul (UE) nr. </w:t>
            </w:r>
            <w:r w:rsidRPr="0036044B">
              <w:rPr>
                <w:bCs/>
              </w:rPr>
              <w:t>241/2021 de instituire a</w:t>
            </w:r>
            <w:r w:rsidRPr="0036044B">
              <w:t xml:space="preserve"> </w:t>
            </w:r>
            <w:r w:rsidRPr="0036044B">
              <w:rPr>
                <w:bCs/>
              </w:rPr>
              <w:t>Mecanismului de redresare și reziliență</w:t>
            </w:r>
            <w:r w:rsidRPr="0036044B">
              <w:t>, analizând, în special, dacă investițiile și reformele propuse sprijină tranziția verde și cea digitală, contribuie la soluționarea eficientă a Recomandărilor specifice de țară prevăzute în cadrul Semestrului european și consolidează potențialul de creștere, crearea de locuri de muncă și reziliența economică și socială a României.</w:t>
            </w:r>
          </w:p>
          <w:p w14:paraId="29DF8CF3" w14:textId="77777777" w:rsidR="005D1889" w:rsidRPr="0036044B" w:rsidRDefault="005D1889" w:rsidP="0036044B">
            <w:pPr>
              <w:jc w:val="both"/>
              <w:rPr>
                <w:b/>
                <w:bCs/>
              </w:rPr>
            </w:pPr>
            <w:r w:rsidRPr="0036044B">
              <w:rPr>
                <w:bCs/>
              </w:rPr>
              <w:t>Suma aferentă implementării PNRR este de 29,18 mil. euro.</w:t>
            </w:r>
            <w:r w:rsidRPr="0036044B">
              <w:rPr>
                <w:b/>
                <w:bCs/>
              </w:rPr>
              <w:t xml:space="preserve"> </w:t>
            </w:r>
            <w:r w:rsidRPr="0036044B">
              <w:rPr>
                <w:bCs/>
              </w:rPr>
              <w:t xml:space="preserve">Potrivit art. 11 alin. (2) din </w:t>
            </w:r>
            <w:r w:rsidRPr="0036044B">
              <w:rPr>
                <w:bCs/>
                <w:i/>
                <w:iCs/>
              </w:rPr>
              <w:t>Regulamentul (UE) nr. 2021/241 al Parlamentului European și al Consiliului din 12 februarie 2021 de instituire a Mecanismului de redresare și reziliență</w:t>
            </w:r>
            <w:r w:rsidRPr="0036044B">
              <w:rPr>
                <w:bCs/>
              </w:rPr>
              <w:t xml:space="preserve"> calculul contribuției financiare maxime se actualizează până la 30 iunie 2022 pentru fiecare stat membru, prin înlocuirea datelor din previziunile Comisiei din toamna anului 2020 cu rezultatele efective în ceea ce privește variația PIB-ului real în 2020 și variația agregată a PIB-ului real în perioada 2020-2021.</w:t>
            </w:r>
            <w:r w:rsidRPr="0036044B">
              <w:rPr>
                <w:b/>
                <w:bCs/>
              </w:rPr>
              <w:t xml:space="preserve"> </w:t>
            </w:r>
          </w:p>
          <w:p w14:paraId="002EFDCE" w14:textId="77777777" w:rsidR="005D1889" w:rsidRPr="0036044B" w:rsidRDefault="005D1889" w:rsidP="0036044B">
            <w:pPr>
              <w:jc w:val="both"/>
              <w:rPr>
                <w:bCs/>
              </w:rPr>
            </w:pPr>
            <w:r w:rsidRPr="0036044B">
              <w:t xml:space="preserve">România a solicitat sprijin financiar nerambursabil în valoare de 14,24 mil. euro EUR și împrumuturi în valoare de 14,94 mil. EUR în cadrul Mecanismului de redresare și reziliență. Împreună, acestea reprezintă 13,09 % din PIB-ul României din 2019. Planul conține 171 de măsuri (64 de reforme și 107 investiții), structurate în 15 componente ce contribuie la toți cei șase piloni definiți în </w:t>
            </w:r>
            <w:r w:rsidRPr="0036044B">
              <w:rPr>
                <w:bCs/>
                <w:iCs/>
              </w:rPr>
              <w:t>Regulamentul (UE) nr. 2021/241 al Parlamentului European și al Consiliului din 12 februarie 2021 de instituire a Mecanismului de redresare și reziliență</w:t>
            </w:r>
            <w:r w:rsidRPr="0036044B">
              <w:rPr>
                <w:bCs/>
              </w:rPr>
              <w:t xml:space="preserve">. </w:t>
            </w:r>
          </w:p>
          <w:p w14:paraId="25CB6BCE" w14:textId="77777777" w:rsidR="005D1889" w:rsidRPr="0036044B" w:rsidRDefault="005D1889" w:rsidP="0036044B">
            <w:pPr>
              <w:jc w:val="both"/>
            </w:pPr>
            <w:r w:rsidRPr="0036044B">
              <w:rPr>
                <w:bCs/>
              </w:rPr>
              <w:t xml:space="preserve">Planul reprezintă, în mare măsură, un răspuns cuprinzător și echilibrat la situația economică și socială și contribuie în mod corespunzător la toți cei șase piloni menționați la art. 3 din </w:t>
            </w:r>
            <w:r w:rsidRPr="0036044B">
              <w:rPr>
                <w:bCs/>
                <w:iCs/>
              </w:rPr>
              <w:t>Regulamentul (UE) 2021/241 al Parlamentului European și al Consiliului din 12 februarie 2021 de instituire a Mecanismului de redresare și reziliență</w:t>
            </w:r>
            <w:r w:rsidRPr="0036044B">
              <w:rPr>
                <w:bCs/>
              </w:rPr>
              <w:t>.</w:t>
            </w:r>
            <w:r w:rsidRPr="0036044B">
              <w:rPr>
                <w:b/>
                <w:bCs/>
              </w:rPr>
              <w:t xml:space="preserve"> </w:t>
            </w:r>
            <w:r w:rsidRPr="0036044B">
              <w:t xml:space="preserve">Planul urmează o abordare holistică pentru a realiza redresarea și a spori potențialul de creștere, consolidând în același timp reziliența socioeconomică și instituțională. Planul explică în detaliu modul în care abordează cei șase piloni. Se preconizează că planul va contribui la abordarea principalelor provocări structurale, precum și la tranziția verde și la tranziția digitală. </w:t>
            </w:r>
          </w:p>
          <w:p w14:paraId="07F37883" w14:textId="77777777" w:rsidR="005D1889" w:rsidRPr="0036044B" w:rsidRDefault="005D1889" w:rsidP="0036044B">
            <w:pPr>
              <w:jc w:val="both"/>
              <w:rPr>
                <w:bCs/>
              </w:rPr>
            </w:pPr>
          </w:p>
          <w:p w14:paraId="2262DDB5" w14:textId="77777777" w:rsidR="005D1889" w:rsidRPr="0036044B" w:rsidRDefault="005D1889" w:rsidP="0036044B">
            <w:pPr>
              <w:jc w:val="both"/>
              <w:rPr>
                <w:bCs/>
              </w:rPr>
            </w:pPr>
            <w:r w:rsidRPr="0036044B">
              <w:rPr>
                <w:bCs/>
              </w:rPr>
              <w:t xml:space="preserve">Potrivit calendarului de acțiune cu privire la demararea proceselor referitoare la implementarea PNRR cuprins în </w:t>
            </w:r>
            <w:r w:rsidRPr="0036044B">
              <w:rPr>
                <w:bCs/>
                <w:i/>
                <w:iCs/>
              </w:rPr>
              <w:t xml:space="preserve">Nota cu tema: demararea proceselor referitoare la implementarea Planului Național de Redresare și Reziliență-PNRR, </w:t>
            </w:r>
            <w:r w:rsidRPr="0036044B">
              <w:rPr>
                <w:bCs/>
              </w:rPr>
              <w:t>transmisă către Secretariatul General al Guvernului prin adresa nr. 418/NDC/29.09.2021 și prezentată spre informare Guvernului României în ședința din data de 29.09.2021, elaborarea și aprobarea cadrului normativ de implementare a PNRR se face în 30 de zile de la adoptarea  Deciziei de punere în aplicare a Consiliului de aprobare a evaluării planului național de redresare și reziliență al României</w:t>
            </w:r>
            <w:r w:rsidRPr="0036044B" w:rsidDel="00530C5C">
              <w:rPr>
                <w:bCs/>
              </w:rPr>
              <w:t xml:space="preserve"> </w:t>
            </w:r>
            <w:r w:rsidRPr="0036044B">
              <w:rPr>
                <w:bCs/>
              </w:rPr>
              <w:t xml:space="preserve">. </w:t>
            </w:r>
          </w:p>
          <w:p w14:paraId="45E0315C" w14:textId="77777777" w:rsidR="005D1889" w:rsidRPr="0036044B" w:rsidRDefault="005D1889" w:rsidP="0036044B">
            <w:pPr>
              <w:jc w:val="both"/>
              <w:rPr>
                <w:bCs/>
              </w:rPr>
            </w:pPr>
          </w:p>
          <w:p w14:paraId="44D270A3" w14:textId="77777777" w:rsidR="005D1889" w:rsidRPr="0036044B" w:rsidRDefault="005D1889" w:rsidP="0036044B">
            <w:pPr>
              <w:jc w:val="both"/>
              <w:rPr>
                <w:bCs/>
              </w:rPr>
            </w:pPr>
            <w:r w:rsidRPr="0036044B">
              <w:rPr>
                <w:bCs/>
              </w:rPr>
              <w:t xml:space="preserve">De asemenea, în conformitate cu obiectivul de etapă (jalonul) 451 din Anexa la Decizia de punere în aplicare a Consiliului de aprobare a evaluării planului național de redresare și reziliență al României, la finalul trimestrului IV al anului 2021 trebuie să intre în vigoare Ordonanța Guvernului de aprobare a cadrului instituțional și a fluxurilor financiare necesare pentru implementarea Planului național de redresare și reziliență. Același act normativ va preciza activitățile aflate în sarcina instituțiilor responsabile de componente (coordonatori de reforme/investiții), și care încredințează MIPE competența și mandatul de a </w:t>
            </w:r>
            <w:r w:rsidRPr="0036044B">
              <w:rPr>
                <w:bCs/>
              </w:rPr>
              <w:lastRenderedPageBreak/>
              <w:t>exercita toate atribuțiile privind monitorizarea, verificarea, controlul și recuperarea, de elaborare și de semnare a cererilor de plată transmise Comisiei Europene, respectiv a declarației de gestiune.</w:t>
            </w:r>
          </w:p>
          <w:p w14:paraId="5837EB5D" w14:textId="77777777" w:rsidR="005D1889" w:rsidRPr="0036044B" w:rsidRDefault="005D1889" w:rsidP="0036044B">
            <w:pPr>
              <w:jc w:val="both"/>
              <w:rPr>
                <w:bCs/>
              </w:rPr>
            </w:pPr>
          </w:p>
          <w:p w14:paraId="6C139973" w14:textId="681E87E7" w:rsidR="005D1889" w:rsidRPr="0036044B" w:rsidRDefault="005D1889" w:rsidP="0036044B">
            <w:pPr>
              <w:jc w:val="both"/>
              <w:rPr>
                <w:bCs/>
              </w:rPr>
            </w:pPr>
            <w:r w:rsidRPr="0036044B">
              <w:rPr>
                <w:bCs/>
              </w:rPr>
              <w:t xml:space="preserve">Prin Memorandumurile aprobate de către Guvernul României în data de 10.11.2021 a fost mandatat Ministerul Investițiilor și Proiectelor Europene pentru semnarea Acordului privind contribuția financiară, în conformitate cu art. 23 din Regulamentul (UE) nr. 2021/241 al Parlamentului European și al Consiliului </w:t>
            </w:r>
            <w:r w:rsidRPr="0036044B">
              <w:rPr>
                <w:bCs/>
                <w:iCs/>
              </w:rPr>
              <w:t xml:space="preserve">din 12 februarie 2021 </w:t>
            </w:r>
            <w:r w:rsidRPr="0036044B">
              <w:rPr>
                <w:bCs/>
              </w:rPr>
              <w:t>de instituire a Mecanismului de redresare și reziliență, pentru finanțarea Planului Național de Redresare și Reziliență a României, iar Ministerul Finanțelor a fost mandatat pentru semnarea acordului de împrumut din cadrul MRR în cuantum de aprox. 14,94 mil. Euro, acorduri ce au fost semnate.</w:t>
            </w:r>
          </w:p>
          <w:p w14:paraId="15E4F7C9" w14:textId="5AF192ED" w:rsidR="005D1889" w:rsidRPr="0036044B" w:rsidRDefault="005D1889" w:rsidP="0036044B">
            <w:pPr>
              <w:jc w:val="both"/>
              <w:rPr>
                <w:bCs/>
              </w:rPr>
            </w:pPr>
            <w:r w:rsidRPr="0036044B">
              <w:rPr>
                <w:bCs/>
              </w:rPr>
              <w:t xml:space="preserve">În data de 14 decembrie 2021 a intrat în vigoare Ordonanța de urgență a Guvernului nr.124/2021 privind stabilirea cadrului </w:t>
            </w:r>
            <w:proofErr w:type="spellStart"/>
            <w:r w:rsidRPr="0036044B">
              <w:rPr>
                <w:bCs/>
              </w:rPr>
              <w:t>instituţional</w:t>
            </w:r>
            <w:proofErr w:type="spellEnd"/>
            <w:r w:rsidRPr="0036044B">
              <w:rPr>
                <w:bCs/>
              </w:rPr>
              <w:t xml:space="preserve"> </w:t>
            </w:r>
            <w:proofErr w:type="spellStart"/>
            <w:r w:rsidRPr="0036044B">
              <w:rPr>
                <w:bCs/>
              </w:rPr>
              <w:t>şi</w:t>
            </w:r>
            <w:proofErr w:type="spellEnd"/>
            <w:r w:rsidRPr="0036044B">
              <w:rPr>
                <w:bCs/>
              </w:rPr>
              <w:t xml:space="preserve"> financiar pentru gestionarea fondurilor europene alocate României prin Mecanismul de redresare </w:t>
            </w:r>
            <w:proofErr w:type="spellStart"/>
            <w:r w:rsidRPr="0036044B">
              <w:rPr>
                <w:bCs/>
              </w:rPr>
              <w:t>şi</w:t>
            </w:r>
            <w:proofErr w:type="spellEnd"/>
            <w:r w:rsidRPr="0036044B">
              <w:rPr>
                <w:bCs/>
              </w:rPr>
              <w:t xml:space="preserve"> </w:t>
            </w:r>
            <w:proofErr w:type="spellStart"/>
            <w:r w:rsidRPr="0036044B">
              <w:rPr>
                <w:bCs/>
              </w:rPr>
              <w:t>rezilienţă</w:t>
            </w:r>
            <w:proofErr w:type="spellEnd"/>
            <w:r w:rsidRPr="0036044B">
              <w:rPr>
                <w:bCs/>
              </w:rPr>
              <w:t xml:space="preserve">, precum </w:t>
            </w:r>
            <w:proofErr w:type="spellStart"/>
            <w:r w:rsidRPr="0036044B">
              <w:rPr>
                <w:bCs/>
              </w:rPr>
              <w:t>şi</w:t>
            </w:r>
            <w:proofErr w:type="spellEnd"/>
            <w:r w:rsidRPr="0036044B">
              <w:rPr>
                <w:bCs/>
              </w:rPr>
              <w:t xml:space="preserve"> pentru modificarea </w:t>
            </w:r>
            <w:proofErr w:type="spellStart"/>
            <w:r w:rsidRPr="0036044B">
              <w:rPr>
                <w:bCs/>
              </w:rPr>
              <w:t>şi</w:t>
            </w:r>
            <w:proofErr w:type="spellEnd"/>
            <w:r w:rsidRPr="0036044B">
              <w:rPr>
                <w:bCs/>
              </w:rPr>
              <w:t xml:space="preserve"> completarea </w:t>
            </w:r>
            <w:proofErr w:type="spellStart"/>
            <w:r w:rsidRPr="0036044B">
              <w:rPr>
                <w:bCs/>
              </w:rPr>
              <w:t>Ordonanţei</w:t>
            </w:r>
            <w:proofErr w:type="spellEnd"/>
            <w:r w:rsidRPr="0036044B">
              <w:rPr>
                <w:bCs/>
              </w:rPr>
              <w:t xml:space="preserve"> de </w:t>
            </w:r>
            <w:proofErr w:type="spellStart"/>
            <w:r w:rsidRPr="0036044B">
              <w:rPr>
                <w:bCs/>
              </w:rPr>
              <w:t>urgenţă</w:t>
            </w:r>
            <w:proofErr w:type="spellEnd"/>
            <w:r w:rsidRPr="0036044B">
              <w:rPr>
                <w:bCs/>
              </w:rPr>
              <w:t xml:space="preserve"> a Guvernului nr.155/2020 privind unele măsuri pentru elaborarea Planului </w:t>
            </w:r>
            <w:proofErr w:type="spellStart"/>
            <w:r w:rsidRPr="0036044B">
              <w:rPr>
                <w:bCs/>
              </w:rPr>
              <w:t>naţional</w:t>
            </w:r>
            <w:proofErr w:type="spellEnd"/>
            <w:r w:rsidRPr="0036044B">
              <w:rPr>
                <w:bCs/>
              </w:rPr>
              <w:t xml:space="preserve"> de redresare </w:t>
            </w:r>
            <w:proofErr w:type="spellStart"/>
            <w:r w:rsidRPr="0036044B">
              <w:rPr>
                <w:bCs/>
              </w:rPr>
              <w:t>şi</w:t>
            </w:r>
            <w:proofErr w:type="spellEnd"/>
            <w:r w:rsidRPr="0036044B">
              <w:rPr>
                <w:bCs/>
              </w:rPr>
              <w:t xml:space="preserve"> </w:t>
            </w:r>
            <w:proofErr w:type="spellStart"/>
            <w:r w:rsidRPr="0036044B">
              <w:rPr>
                <w:bCs/>
              </w:rPr>
              <w:t>rezilienţă</w:t>
            </w:r>
            <w:proofErr w:type="spellEnd"/>
            <w:r w:rsidRPr="0036044B">
              <w:rPr>
                <w:bCs/>
              </w:rPr>
              <w:t xml:space="preserve"> necesar României pentru accesarea de fonduri externe rambursabile </w:t>
            </w:r>
            <w:proofErr w:type="spellStart"/>
            <w:r w:rsidRPr="0036044B">
              <w:rPr>
                <w:bCs/>
              </w:rPr>
              <w:t>şi</w:t>
            </w:r>
            <w:proofErr w:type="spellEnd"/>
            <w:r w:rsidRPr="0036044B">
              <w:rPr>
                <w:bCs/>
              </w:rPr>
              <w:t xml:space="preserve"> nerambursabile în cadrul Mecanismului de redresare </w:t>
            </w:r>
            <w:proofErr w:type="spellStart"/>
            <w:r w:rsidRPr="0036044B">
              <w:rPr>
                <w:bCs/>
              </w:rPr>
              <w:t>şi</w:t>
            </w:r>
            <w:proofErr w:type="spellEnd"/>
            <w:r w:rsidRPr="0036044B">
              <w:rPr>
                <w:bCs/>
              </w:rPr>
              <w:t xml:space="preserve"> </w:t>
            </w:r>
            <w:proofErr w:type="spellStart"/>
            <w:r w:rsidRPr="0036044B">
              <w:rPr>
                <w:bCs/>
              </w:rPr>
              <w:t>rezilienţă</w:t>
            </w:r>
            <w:proofErr w:type="spellEnd"/>
            <w:r w:rsidRPr="0036044B">
              <w:rPr>
                <w:bCs/>
              </w:rPr>
              <w:t>.  Actul normativ precizează activitățile aflate în sarcina instituțiilor responsabile de componente (coordonatori de reforme/investiții), și încredințează MIPE competența și mandatul de a exercita atribuțiile privind monitorizarea, verificarea, controlul și recuperarea, de elaborare și de semnare a cererilor de plată transmise Comisiei Europene, respectiv a declarației de gestiune. Actul normativ a fost aprobat prin Legea nr.178/2022.</w:t>
            </w:r>
          </w:p>
          <w:p w14:paraId="0C02A89F" w14:textId="77777777" w:rsidR="005D1889" w:rsidRPr="0036044B" w:rsidRDefault="005D1889" w:rsidP="0036044B">
            <w:pPr>
              <w:jc w:val="both"/>
              <w:rPr>
                <w:bCs/>
              </w:rPr>
            </w:pPr>
          </w:p>
          <w:p w14:paraId="5D0BA3FE" w14:textId="3A1D8776" w:rsidR="005D1889" w:rsidRPr="0036044B" w:rsidRDefault="005D1889" w:rsidP="0036044B">
            <w:pPr>
              <w:jc w:val="both"/>
              <w:rPr>
                <w:bCs/>
              </w:rPr>
            </w:pPr>
            <w:r w:rsidRPr="0036044B">
              <w:rPr>
                <w:bCs/>
              </w:rPr>
              <w:t>Prin Hotărârea de Guvern nr.209 din 14 februarie 2022 au fost aprobate normele metodologice de aplicare a prevederilor Ordonanței de urgență a Guvernului nr.124/2021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p>
          <w:p w14:paraId="229F2503" w14:textId="77777777" w:rsidR="005D1889" w:rsidRPr="0036044B" w:rsidRDefault="005D1889" w:rsidP="0036044B">
            <w:pPr>
              <w:jc w:val="both"/>
              <w:rPr>
                <w:bCs/>
              </w:rPr>
            </w:pPr>
          </w:p>
          <w:p w14:paraId="4E5BA07B" w14:textId="77777777" w:rsidR="005D1889" w:rsidRPr="0036044B" w:rsidRDefault="005D1889" w:rsidP="0036044B">
            <w:pPr>
              <w:jc w:val="both"/>
              <w:rPr>
                <w:bCs/>
                <w:strike/>
              </w:rPr>
            </w:pPr>
          </w:p>
          <w:p w14:paraId="2C2877F6" w14:textId="203CF0BE" w:rsidR="005D1889" w:rsidRPr="0036044B" w:rsidRDefault="005D1889" w:rsidP="0036044B">
            <w:pPr>
              <w:jc w:val="both"/>
              <w:rPr>
                <w:bCs/>
              </w:rPr>
            </w:pPr>
            <w:r w:rsidRPr="0036044B">
              <w:rPr>
                <w:bCs/>
              </w:rPr>
              <w:t xml:space="preserve">Având în vedere necesitatea modificării și completării cadrului legal care să permită utilizarea fondurilor externe nerambursabile/rambursabile din cadrul Mecanismului de redresare </w:t>
            </w:r>
            <w:proofErr w:type="spellStart"/>
            <w:r w:rsidRPr="0036044B">
              <w:rPr>
                <w:bCs/>
              </w:rPr>
              <w:t>şi</w:t>
            </w:r>
            <w:proofErr w:type="spellEnd"/>
            <w:r w:rsidRPr="0036044B">
              <w:rPr>
                <w:bCs/>
              </w:rPr>
              <w:t xml:space="preserve"> </w:t>
            </w:r>
            <w:proofErr w:type="spellStart"/>
            <w:r w:rsidRPr="0036044B">
              <w:rPr>
                <w:bCs/>
              </w:rPr>
              <w:t>rezilienţă</w:t>
            </w:r>
            <w:proofErr w:type="spellEnd"/>
            <w:r w:rsidRPr="0036044B">
              <w:rPr>
                <w:bCs/>
              </w:rPr>
              <w:t xml:space="preserve">, în corelare directă cu </w:t>
            </w:r>
            <w:proofErr w:type="spellStart"/>
            <w:r w:rsidRPr="0036044B">
              <w:rPr>
                <w:bCs/>
              </w:rPr>
              <w:t>obţinerea</w:t>
            </w:r>
            <w:proofErr w:type="spellEnd"/>
            <w:r w:rsidRPr="0036044B">
              <w:rPr>
                <w:bCs/>
              </w:rPr>
              <w:t xml:space="preserve"> de rezultate </w:t>
            </w:r>
            <w:proofErr w:type="spellStart"/>
            <w:r w:rsidRPr="0036044B">
              <w:rPr>
                <w:bCs/>
              </w:rPr>
              <w:t>şi</w:t>
            </w:r>
            <w:proofErr w:type="spellEnd"/>
            <w:r w:rsidRPr="0036044B">
              <w:rPr>
                <w:bCs/>
              </w:rPr>
              <w:t xml:space="preserve"> implementarea reformelor </w:t>
            </w:r>
            <w:proofErr w:type="spellStart"/>
            <w:r w:rsidRPr="0036044B">
              <w:rPr>
                <w:bCs/>
              </w:rPr>
              <w:t>şi</w:t>
            </w:r>
            <w:proofErr w:type="spellEnd"/>
            <w:r w:rsidRPr="0036044B">
              <w:rPr>
                <w:bCs/>
              </w:rPr>
              <w:t xml:space="preserve"> a </w:t>
            </w:r>
            <w:proofErr w:type="spellStart"/>
            <w:r w:rsidRPr="0036044B">
              <w:rPr>
                <w:bCs/>
              </w:rPr>
              <w:t>investiţiilor</w:t>
            </w:r>
            <w:proofErr w:type="spellEnd"/>
            <w:r w:rsidRPr="0036044B">
              <w:rPr>
                <w:bCs/>
              </w:rPr>
              <w:t xml:space="preserve">, luând în considerare orizontul de timp determinat, respectiv 31 august 2026, dată până la care a fost asumată îndeplinirea a 507 jaloane </w:t>
            </w:r>
            <w:proofErr w:type="spellStart"/>
            <w:r w:rsidRPr="0036044B">
              <w:rPr>
                <w:bCs/>
              </w:rPr>
              <w:t>şi</w:t>
            </w:r>
            <w:proofErr w:type="spellEnd"/>
            <w:r w:rsidRPr="0036044B">
              <w:rPr>
                <w:bCs/>
              </w:rPr>
              <w:t xml:space="preserve"> </w:t>
            </w:r>
            <w:proofErr w:type="spellStart"/>
            <w:r w:rsidRPr="0036044B">
              <w:rPr>
                <w:bCs/>
              </w:rPr>
              <w:t>ţinte</w:t>
            </w:r>
            <w:proofErr w:type="spellEnd"/>
            <w:r w:rsidRPr="0036044B">
              <w:rPr>
                <w:bCs/>
              </w:rPr>
              <w:t xml:space="preserve"> asociate </w:t>
            </w:r>
            <w:proofErr w:type="spellStart"/>
            <w:r w:rsidRPr="0036044B">
              <w:rPr>
                <w:bCs/>
              </w:rPr>
              <w:t>investiţiilor</w:t>
            </w:r>
            <w:proofErr w:type="spellEnd"/>
            <w:r w:rsidRPr="0036044B">
              <w:rPr>
                <w:bCs/>
              </w:rPr>
              <w:t xml:space="preserve">-cheie </w:t>
            </w:r>
            <w:proofErr w:type="spellStart"/>
            <w:r w:rsidRPr="0036044B">
              <w:rPr>
                <w:bCs/>
              </w:rPr>
              <w:t>şi</w:t>
            </w:r>
            <w:proofErr w:type="spellEnd"/>
            <w:r w:rsidRPr="0036044B">
              <w:rPr>
                <w:bCs/>
              </w:rPr>
              <w:t xml:space="preserve"> reformelor majore aferente celor </w:t>
            </w:r>
            <w:proofErr w:type="spellStart"/>
            <w:r w:rsidRPr="0036044B">
              <w:rPr>
                <w:bCs/>
              </w:rPr>
              <w:t>şase</w:t>
            </w:r>
            <w:proofErr w:type="spellEnd"/>
            <w:r w:rsidRPr="0036044B">
              <w:rPr>
                <w:bCs/>
              </w:rPr>
              <w:t xml:space="preserve"> piloni principali </w:t>
            </w:r>
            <w:proofErr w:type="spellStart"/>
            <w:r w:rsidRPr="0036044B">
              <w:rPr>
                <w:bCs/>
              </w:rPr>
              <w:t>stabiliţi</w:t>
            </w:r>
            <w:proofErr w:type="spellEnd"/>
            <w:r w:rsidRPr="0036044B">
              <w:rPr>
                <w:bCs/>
              </w:rPr>
              <w:t xml:space="preserve"> prin Regulamentul (UE) 2021/241 al Parlamentului European </w:t>
            </w:r>
            <w:proofErr w:type="spellStart"/>
            <w:r w:rsidRPr="0036044B">
              <w:rPr>
                <w:bCs/>
              </w:rPr>
              <w:t>şi</w:t>
            </w:r>
            <w:proofErr w:type="spellEnd"/>
            <w:r w:rsidRPr="0036044B">
              <w:rPr>
                <w:bCs/>
              </w:rPr>
              <w:t xml:space="preserve"> al Consiliului din 12 februarie 2021 de instituire a Mecanismului de redresare </w:t>
            </w:r>
            <w:proofErr w:type="spellStart"/>
            <w:r w:rsidRPr="0036044B">
              <w:rPr>
                <w:bCs/>
              </w:rPr>
              <w:t>şi</w:t>
            </w:r>
            <w:proofErr w:type="spellEnd"/>
            <w:r w:rsidRPr="0036044B">
              <w:rPr>
                <w:bCs/>
              </w:rPr>
              <w:t xml:space="preserve"> </w:t>
            </w:r>
            <w:proofErr w:type="spellStart"/>
            <w:r w:rsidRPr="0036044B">
              <w:rPr>
                <w:bCs/>
              </w:rPr>
              <w:t>rezilienţă</w:t>
            </w:r>
            <w:proofErr w:type="spellEnd"/>
            <w:r w:rsidRPr="0036044B">
              <w:rPr>
                <w:bCs/>
              </w:rPr>
              <w:t xml:space="preserve">, </w:t>
            </w:r>
            <w:proofErr w:type="spellStart"/>
            <w:r w:rsidRPr="0036044B">
              <w:rPr>
                <w:bCs/>
              </w:rPr>
              <w:t>ţinând</w:t>
            </w:r>
            <w:proofErr w:type="spellEnd"/>
            <w:r w:rsidRPr="0036044B">
              <w:rPr>
                <w:bCs/>
              </w:rPr>
              <w:t xml:space="preserve"> cont că lipsa reglementării unitare </w:t>
            </w:r>
            <w:proofErr w:type="spellStart"/>
            <w:r w:rsidRPr="0036044B">
              <w:rPr>
                <w:bCs/>
              </w:rPr>
              <w:t>şi</w:t>
            </w:r>
            <w:proofErr w:type="spellEnd"/>
            <w:r w:rsidRPr="0036044B">
              <w:rPr>
                <w:bCs/>
              </w:rPr>
              <w:t xml:space="preserve"> complete a cadrului </w:t>
            </w:r>
            <w:proofErr w:type="spellStart"/>
            <w:r w:rsidRPr="0036044B">
              <w:rPr>
                <w:bCs/>
              </w:rPr>
              <w:t>instituţional</w:t>
            </w:r>
            <w:proofErr w:type="spellEnd"/>
            <w:r w:rsidRPr="0036044B">
              <w:rPr>
                <w:bCs/>
              </w:rPr>
              <w:t xml:space="preserve"> </w:t>
            </w:r>
            <w:proofErr w:type="spellStart"/>
            <w:r w:rsidRPr="0036044B">
              <w:rPr>
                <w:bCs/>
              </w:rPr>
              <w:t>şi</w:t>
            </w:r>
            <w:proofErr w:type="spellEnd"/>
            <w:r w:rsidRPr="0036044B">
              <w:rPr>
                <w:bCs/>
              </w:rPr>
              <w:t xml:space="preserve"> financiar general aplicabil fondurilor externe nerambursabile/rambursabile aferent Mecanismului de redresare </w:t>
            </w:r>
            <w:proofErr w:type="spellStart"/>
            <w:r w:rsidRPr="0036044B">
              <w:rPr>
                <w:bCs/>
              </w:rPr>
              <w:t>şi</w:t>
            </w:r>
            <w:proofErr w:type="spellEnd"/>
            <w:r w:rsidRPr="0036044B">
              <w:rPr>
                <w:bCs/>
              </w:rPr>
              <w:t xml:space="preserve"> </w:t>
            </w:r>
            <w:proofErr w:type="spellStart"/>
            <w:r w:rsidRPr="0036044B">
              <w:rPr>
                <w:bCs/>
              </w:rPr>
              <w:t>rezilienţă</w:t>
            </w:r>
            <w:proofErr w:type="spellEnd"/>
            <w:r w:rsidRPr="0036044B">
              <w:rPr>
                <w:bCs/>
              </w:rPr>
              <w:t xml:space="preserve"> generează întârzieri în implementarea acestuia, cu impact asupra termenelor de depunere a cererilor de plată </w:t>
            </w:r>
            <w:proofErr w:type="spellStart"/>
            <w:r w:rsidRPr="0036044B">
              <w:rPr>
                <w:bCs/>
              </w:rPr>
              <w:t>şi</w:t>
            </w:r>
            <w:proofErr w:type="spellEnd"/>
            <w:r w:rsidRPr="0036044B">
              <w:rPr>
                <w:bCs/>
              </w:rPr>
              <w:t xml:space="preserve"> a gradului de </w:t>
            </w:r>
            <w:proofErr w:type="spellStart"/>
            <w:r w:rsidRPr="0036044B">
              <w:rPr>
                <w:bCs/>
              </w:rPr>
              <w:t>absorbţie</w:t>
            </w:r>
            <w:proofErr w:type="spellEnd"/>
            <w:r w:rsidRPr="0036044B">
              <w:rPr>
                <w:bCs/>
              </w:rPr>
              <w:t xml:space="preserve"> a fondurilor alocate României din Mecanismul de redresare </w:t>
            </w:r>
            <w:proofErr w:type="spellStart"/>
            <w:r w:rsidRPr="0036044B">
              <w:rPr>
                <w:bCs/>
              </w:rPr>
              <w:t>şi</w:t>
            </w:r>
            <w:proofErr w:type="spellEnd"/>
            <w:r w:rsidRPr="0036044B">
              <w:rPr>
                <w:bCs/>
              </w:rPr>
              <w:t xml:space="preserve"> </w:t>
            </w:r>
            <w:proofErr w:type="spellStart"/>
            <w:r w:rsidRPr="0036044B">
              <w:rPr>
                <w:bCs/>
              </w:rPr>
              <w:t>rezilienţă</w:t>
            </w:r>
            <w:proofErr w:type="spellEnd"/>
            <w:r w:rsidRPr="0036044B">
              <w:rPr>
                <w:bCs/>
              </w:rPr>
              <w:t xml:space="preserve">, având în vedere necesitatea clarificării cât mai urgente a mecanismelor și fluxurilor aplicabile investițiilor și proiectelor finanțate din Planul Național de Redresare și Reziliență, cât și a rolurilor diferitelor structuri implicate, în scopul evitării blocajului implementării </w:t>
            </w:r>
            <w:proofErr w:type="spellStart"/>
            <w:r w:rsidRPr="0036044B">
              <w:rPr>
                <w:bCs/>
              </w:rPr>
              <w:t>investiţiilor</w:t>
            </w:r>
            <w:proofErr w:type="spellEnd"/>
            <w:r w:rsidRPr="0036044B">
              <w:rPr>
                <w:bCs/>
              </w:rPr>
              <w:t xml:space="preserve">, respectiv atingerii </w:t>
            </w:r>
            <w:proofErr w:type="spellStart"/>
            <w:r w:rsidRPr="0036044B">
              <w:rPr>
                <w:bCs/>
              </w:rPr>
              <w:t>ţintelor</w:t>
            </w:r>
            <w:proofErr w:type="spellEnd"/>
            <w:r w:rsidRPr="0036044B">
              <w:rPr>
                <w:bCs/>
              </w:rPr>
              <w:t xml:space="preserve"> </w:t>
            </w:r>
            <w:proofErr w:type="spellStart"/>
            <w:r w:rsidRPr="0036044B">
              <w:rPr>
                <w:bCs/>
              </w:rPr>
              <w:t>şi</w:t>
            </w:r>
            <w:proofErr w:type="spellEnd"/>
            <w:r w:rsidRPr="0036044B">
              <w:rPr>
                <w:bCs/>
              </w:rPr>
              <w:t xml:space="preserve"> jaloanelor este necesară modificarea și completarea reglementărilor care să vizeze aspectele </w:t>
            </w:r>
            <w:proofErr w:type="spellStart"/>
            <w:r w:rsidRPr="0036044B">
              <w:rPr>
                <w:bCs/>
              </w:rPr>
              <w:t>menţionate</w:t>
            </w:r>
            <w:proofErr w:type="spellEnd"/>
            <w:r w:rsidRPr="0036044B">
              <w:rPr>
                <w:bCs/>
              </w:rPr>
              <w:t xml:space="preserve"> anterior cu privire la mecanismele și fluxurile aplicabile </w:t>
            </w:r>
            <w:proofErr w:type="spellStart"/>
            <w:r w:rsidRPr="0036044B">
              <w:rPr>
                <w:bCs/>
              </w:rPr>
              <w:t>strucuturilor</w:t>
            </w:r>
            <w:proofErr w:type="spellEnd"/>
            <w:r w:rsidRPr="0036044B">
              <w:rPr>
                <w:bCs/>
              </w:rPr>
              <w:t xml:space="preserve"> implicate în implementarea PNRR </w:t>
            </w:r>
            <w:proofErr w:type="spellStart"/>
            <w:r w:rsidRPr="0036044B">
              <w:rPr>
                <w:bCs/>
              </w:rPr>
              <w:t>şi</w:t>
            </w:r>
            <w:proofErr w:type="spellEnd"/>
            <w:r w:rsidRPr="0036044B">
              <w:rPr>
                <w:bCs/>
              </w:rPr>
              <w:t xml:space="preserve"> care să asigure o corectă utilizare a fondurilor externe nerambursabile/rambursabile alocate României prin Mecanismul de redresare </w:t>
            </w:r>
            <w:proofErr w:type="spellStart"/>
            <w:r w:rsidRPr="0036044B">
              <w:rPr>
                <w:bCs/>
              </w:rPr>
              <w:t>şi</w:t>
            </w:r>
            <w:proofErr w:type="spellEnd"/>
            <w:r w:rsidRPr="0036044B">
              <w:rPr>
                <w:bCs/>
              </w:rPr>
              <w:t xml:space="preserve"> </w:t>
            </w:r>
            <w:proofErr w:type="spellStart"/>
            <w:r w:rsidRPr="0036044B">
              <w:rPr>
                <w:bCs/>
              </w:rPr>
              <w:t>rezilienţă</w:t>
            </w:r>
            <w:proofErr w:type="spellEnd"/>
            <w:r w:rsidRPr="0036044B">
              <w:rPr>
                <w:bCs/>
              </w:rPr>
              <w:t xml:space="preserve">, întrucât toate aceste aspecte vizează interesul public </w:t>
            </w:r>
            <w:proofErr w:type="spellStart"/>
            <w:r w:rsidRPr="0036044B">
              <w:rPr>
                <w:bCs/>
              </w:rPr>
              <w:t>şi</w:t>
            </w:r>
            <w:proofErr w:type="spellEnd"/>
            <w:r w:rsidRPr="0036044B">
              <w:rPr>
                <w:bCs/>
              </w:rPr>
              <w:t xml:space="preserve"> constituie </w:t>
            </w:r>
            <w:proofErr w:type="spellStart"/>
            <w:r w:rsidRPr="0036044B">
              <w:rPr>
                <w:bCs/>
              </w:rPr>
              <w:t>situaţii</w:t>
            </w:r>
            <w:proofErr w:type="spellEnd"/>
            <w:r w:rsidRPr="0036044B">
              <w:rPr>
                <w:bCs/>
              </w:rPr>
              <w:t xml:space="preserve"> a căror reglementare este necesară.</w:t>
            </w:r>
          </w:p>
          <w:p w14:paraId="76508A19" w14:textId="77777777" w:rsidR="005D1889" w:rsidRPr="0036044B" w:rsidRDefault="005D1889" w:rsidP="0036044B">
            <w:pPr>
              <w:jc w:val="both"/>
              <w:rPr>
                <w:bCs/>
              </w:rPr>
            </w:pPr>
          </w:p>
          <w:p w14:paraId="192D1F4D" w14:textId="57184DD6" w:rsidR="005D1889" w:rsidRPr="0036044B" w:rsidRDefault="005D1889" w:rsidP="0036044B">
            <w:pPr>
              <w:autoSpaceDE w:val="0"/>
              <w:autoSpaceDN w:val="0"/>
              <w:adjustRightInd w:val="0"/>
              <w:spacing w:after="120"/>
              <w:jc w:val="both"/>
              <w:rPr>
                <w:lang w:eastAsia="ro-RO"/>
              </w:rPr>
            </w:pPr>
            <w:r w:rsidRPr="0036044B">
              <w:rPr>
                <w:bCs/>
              </w:rPr>
              <w:t xml:space="preserve">Grupurile-țintă care beneficiază direct sau indirect în urma implementării proiectului de act normativ sunt </w:t>
            </w:r>
            <w:proofErr w:type="spellStart"/>
            <w:r w:rsidRPr="0036044B">
              <w:rPr>
                <w:bCs/>
              </w:rPr>
              <w:t>autorităţile</w:t>
            </w:r>
            <w:proofErr w:type="spellEnd"/>
            <w:r w:rsidRPr="0036044B">
              <w:rPr>
                <w:bCs/>
              </w:rPr>
              <w:t xml:space="preserve"> cu </w:t>
            </w:r>
            <w:proofErr w:type="spellStart"/>
            <w:r w:rsidRPr="0036044B">
              <w:rPr>
                <w:bCs/>
              </w:rPr>
              <w:t>competenţe</w:t>
            </w:r>
            <w:proofErr w:type="spellEnd"/>
            <w:r w:rsidRPr="0036044B">
              <w:rPr>
                <w:bCs/>
              </w:rPr>
              <w:t xml:space="preserve"> în gestionarea fondurilor europene alocate României prin Mecanismul de redresare și reziliență, orice alte </w:t>
            </w:r>
            <w:proofErr w:type="spellStart"/>
            <w:r w:rsidRPr="0036044B">
              <w:rPr>
                <w:bCs/>
              </w:rPr>
              <w:t>instituţii</w:t>
            </w:r>
            <w:proofErr w:type="spellEnd"/>
            <w:r w:rsidRPr="0036044B">
              <w:rPr>
                <w:bCs/>
              </w:rPr>
              <w:t xml:space="preserve"> publice care au normative de specialitate, constituite conform </w:t>
            </w:r>
            <w:r w:rsidRPr="0036044B">
              <w:rPr>
                <w:bCs/>
              </w:rPr>
              <w:lastRenderedPageBreak/>
              <w:t xml:space="preserve">prevederilor Ordonanței de urgență a Guvernului nr.124/2021, cu </w:t>
            </w:r>
            <w:proofErr w:type="spellStart"/>
            <w:r w:rsidRPr="0036044B">
              <w:rPr>
                <w:bCs/>
              </w:rPr>
              <w:t>atribuţii</w:t>
            </w:r>
            <w:proofErr w:type="spellEnd"/>
            <w:r w:rsidRPr="0036044B">
              <w:rPr>
                <w:bCs/>
              </w:rPr>
              <w:t xml:space="preserve"> privind prevenirea, constatarea unei nereguli, stabilirea </w:t>
            </w:r>
            <w:proofErr w:type="spellStart"/>
            <w:r w:rsidRPr="0036044B">
              <w:rPr>
                <w:bCs/>
              </w:rPr>
              <w:t>şi</w:t>
            </w:r>
            <w:proofErr w:type="spellEnd"/>
            <w:r w:rsidRPr="0036044B">
              <w:rPr>
                <w:bCs/>
              </w:rPr>
              <w:t xml:space="preserve"> urmărirea încasării </w:t>
            </w:r>
            <w:proofErr w:type="spellStart"/>
            <w:r w:rsidRPr="0036044B">
              <w:rPr>
                <w:bCs/>
              </w:rPr>
              <w:t>creanţelor</w:t>
            </w:r>
            <w:proofErr w:type="spellEnd"/>
            <w:r w:rsidRPr="0036044B">
              <w:rPr>
                <w:bCs/>
              </w:rPr>
              <w:t xml:space="preserve"> bugetare rezultate din nereguli apărute în </w:t>
            </w:r>
            <w:proofErr w:type="spellStart"/>
            <w:r w:rsidRPr="0036044B">
              <w:rPr>
                <w:bCs/>
              </w:rPr>
              <w:t>obţinerea</w:t>
            </w:r>
            <w:proofErr w:type="spellEnd"/>
            <w:r w:rsidRPr="0036044B">
              <w:rPr>
                <w:bCs/>
              </w:rPr>
              <w:t xml:space="preserve"> </w:t>
            </w:r>
            <w:proofErr w:type="spellStart"/>
            <w:r w:rsidRPr="0036044B">
              <w:rPr>
                <w:bCs/>
              </w:rPr>
              <w:t>şi</w:t>
            </w:r>
            <w:proofErr w:type="spellEnd"/>
            <w:r w:rsidRPr="0036044B">
              <w:rPr>
                <w:bCs/>
              </w:rPr>
              <w:t xml:space="preserve"> utilizarea fondurilor europene alocate României prin Mecanismul de redresare și reziliență  </w:t>
            </w:r>
            <w:proofErr w:type="spellStart"/>
            <w:r w:rsidRPr="0036044B">
              <w:rPr>
                <w:bCs/>
              </w:rPr>
              <w:t>şi</w:t>
            </w:r>
            <w:proofErr w:type="spellEnd"/>
            <w:r w:rsidRPr="0036044B">
              <w:rPr>
                <w:bCs/>
              </w:rPr>
              <w:t xml:space="preserve"> a fondurilor publice </w:t>
            </w:r>
            <w:proofErr w:type="spellStart"/>
            <w:r w:rsidRPr="0036044B">
              <w:rPr>
                <w:bCs/>
              </w:rPr>
              <w:t>naţionale</w:t>
            </w:r>
            <w:proofErr w:type="spellEnd"/>
            <w:r w:rsidRPr="0036044B">
              <w:rPr>
                <w:bCs/>
              </w:rPr>
              <w:t xml:space="preserve"> aferente acestora, beneficiarii de fonduri europene alocate României prin Mecanismul de redresare și reziliență </w:t>
            </w:r>
            <w:proofErr w:type="spellStart"/>
            <w:r w:rsidRPr="0036044B">
              <w:rPr>
                <w:bCs/>
              </w:rPr>
              <w:t>şi</w:t>
            </w:r>
            <w:proofErr w:type="spellEnd"/>
            <w:r w:rsidRPr="0036044B">
              <w:rPr>
                <w:bCs/>
              </w:rPr>
              <w:t xml:space="preserve">/sau fonduri publice </w:t>
            </w:r>
            <w:proofErr w:type="spellStart"/>
            <w:r w:rsidRPr="0036044B">
              <w:rPr>
                <w:bCs/>
              </w:rPr>
              <w:t>naţionale</w:t>
            </w:r>
            <w:proofErr w:type="spellEnd"/>
            <w:r w:rsidRPr="0036044B">
              <w:rPr>
                <w:bCs/>
              </w:rPr>
              <w:t xml:space="preserve"> aferente acestora, precum </w:t>
            </w:r>
            <w:proofErr w:type="spellStart"/>
            <w:r w:rsidRPr="0036044B">
              <w:rPr>
                <w:bCs/>
              </w:rPr>
              <w:t>şi</w:t>
            </w:r>
            <w:proofErr w:type="spellEnd"/>
            <w:r w:rsidRPr="0036044B">
              <w:rPr>
                <w:bCs/>
              </w:rPr>
              <w:t xml:space="preserve"> orice alți operatori economici cu capital public sau privat care </w:t>
            </w:r>
            <w:proofErr w:type="spellStart"/>
            <w:r w:rsidRPr="0036044B">
              <w:rPr>
                <w:bCs/>
              </w:rPr>
              <w:t>desfăşoară</w:t>
            </w:r>
            <w:proofErr w:type="spellEnd"/>
            <w:r w:rsidRPr="0036044B">
              <w:rPr>
                <w:bCs/>
              </w:rPr>
              <w:t xml:space="preserve"> </w:t>
            </w:r>
            <w:proofErr w:type="spellStart"/>
            <w:r w:rsidRPr="0036044B">
              <w:rPr>
                <w:bCs/>
              </w:rPr>
              <w:t>activităţi</w:t>
            </w:r>
            <w:proofErr w:type="spellEnd"/>
            <w:r w:rsidRPr="0036044B">
              <w:rPr>
                <w:bCs/>
              </w:rPr>
              <w:t xml:space="preserve"> </w:t>
            </w:r>
            <w:proofErr w:type="spellStart"/>
            <w:r w:rsidRPr="0036044B">
              <w:rPr>
                <w:bCs/>
              </w:rPr>
              <w:t>finanţate</w:t>
            </w:r>
            <w:proofErr w:type="spellEnd"/>
            <w:r w:rsidRPr="0036044B">
              <w:rPr>
                <w:bCs/>
              </w:rPr>
              <w:t xml:space="preserve"> din fonduri europene alocate României prin Mecanismul de redresare și reziliență  în baza contractului/deciziei/ordinului/acordului de implementare/convenției de finanțare.</w:t>
            </w:r>
          </w:p>
          <w:p w14:paraId="4238D1EB" w14:textId="02BAC0FB" w:rsidR="00223491" w:rsidRPr="0036044B" w:rsidRDefault="004D434D" w:rsidP="0036044B">
            <w:pPr>
              <w:autoSpaceDE w:val="0"/>
              <w:autoSpaceDN w:val="0"/>
              <w:adjustRightInd w:val="0"/>
              <w:spacing w:after="120"/>
              <w:jc w:val="both"/>
              <w:rPr>
                <w:b/>
                <w:lang w:eastAsia="ro-RO"/>
              </w:rPr>
            </w:pPr>
            <w:r w:rsidRPr="0036044B">
              <w:rPr>
                <w:lang w:eastAsia="ro-RO"/>
              </w:rPr>
              <w:t xml:space="preserve"> </w:t>
            </w:r>
            <w:r w:rsidR="00223491" w:rsidRPr="0036044B">
              <w:rPr>
                <w:b/>
                <w:lang w:eastAsia="ro-RO"/>
              </w:rPr>
              <w:t>2.3 Schimbări preconizate</w:t>
            </w:r>
          </w:p>
          <w:p w14:paraId="3AE0754C" w14:textId="77777777" w:rsidR="005D1889" w:rsidRPr="0036044B" w:rsidRDefault="005D1889" w:rsidP="0036044B">
            <w:pPr>
              <w:widowControl w:val="0"/>
              <w:autoSpaceDE w:val="0"/>
              <w:autoSpaceDN w:val="0"/>
              <w:adjustRightInd w:val="0"/>
              <w:jc w:val="both"/>
              <w:rPr>
                <w:bCs/>
              </w:rPr>
            </w:pPr>
            <w:r w:rsidRPr="0036044B">
              <w:t xml:space="preserve">Prin intervențiile sale, planul </w:t>
            </w:r>
            <w:r w:rsidRPr="0036044B">
              <w:rPr>
                <w:bCs/>
              </w:rPr>
              <w:t xml:space="preserve">reprezintă un răspuns cuprinzător și echilibrat la situația economică și socială din România, contribuind astfel în mod corespunzător la toți cei șase piloni de politică menționați la art. 3 din Regulamentul (UE) nr. 241/2021 al Parlamentului European și al Consiliului </w:t>
            </w:r>
            <w:r w:rsidRPr="0036044B">
              <w:rPr>
                <w:bCs/>
                <w:iCs/>
              </w:rPr>
              <w:t xml:space="preserve">din 12 februarie 2021 </w:t>
            </w:r>
            <w:r w:rsidRPr="0036044B">
              <w:rPr>
                <w:bCs/>
              </w:rPr>
              <w:t xml:space="preserve">de instituire a Mecanismului de redresare și reziliență. </w:t>
            </w:r>
          </w:p>
          <w:p w14:paraId="5000B708" w14:textId="77777777" w:rsidR="005D1889" w:rsidRPr="0036044B" w:rsidRDefault="005D1889" w:rsidP="0036044B">
            <w:pPr>
              <w:widowControl w:val="0"/>
              <w:autoSpaceDE w:val="0"/>
              <w:autoSpaceDN w:val="0"/>
              <w:adjustRightInd w:val="0"/>
              <w:jc w:val="both"/>
              <w:rPr>
                <w:bCs/>
              </w:rPr>
            </w:pPr>
            <w:r w:rsidRPr="0036044B">
              <w:rPr>
                <w:bCs/>
              </w:rPr>
              <w:t xml:space="preserve">Pentru implementarea sa, este necesară completarea cadrului instituțional și stabilirea fluxurilor financiare, de monitorizare, verificare și control. În acest sens, OUG nr. 155/2020 privind unele măsuri pentru elaborarea Planului național de redresare </w:t>
            </w:r>
            <w:proofErr w:type="spellStart"/>
            <w:r w:rsidRPr="0036044B">
              <w:rPr>
                <w:bCs/>
              </w:rPr>
              <w:t>şi</w:t>
            </w:r>
            <w:proofErr w:type="spellEnd"/>
            <w:r w:rsidRPr="0036044B">
              <w:rPr>
                <w:bCs/>
              </w:rPr>
              <w:t xml:space="preserve"> reziliență necesar României pentru accesarea de fonduri externe rambursabile </w:t>
            </w:r>
            <w:proofErr w:type="spellStart"/>
            <w:r w:rsidRPr="0036044B">
              <w:rPr>
                <w:bCs/>
              </w:rPr>
              <w:t>şi</w:t>
            </w:r>
            <w:proofErr w:type="spellEnd"/>
            <w:r w:rsidRPr="0036044B">
              <w:rPr>
                <w:bCs/>
              </w:rPr>
              <w:t xml:space="preserve"> nerambursabile în cadrul Mecanismului de redresare </w:t>
            </w:r>
            <w:proofErr w:type="spellStart"/>
            <w:r w:rsidRPr="0036044B">
              <w:rPr>
                <w:bCs/>
              </w:rPr>
              <w:t>şi</w:t>
            </w:r>
            <w:proofErr w:type="spellEnd"/>
            <w:r w:rsidRPr="0036044B">
              <w:rPr>
                <w:bCs/>
              </w:rPr>
              <w:t xml:space="preserve"> reziliență, cu modificările și completările ulterioare, prevede deja principalele instituții implicate în procesul de gestionare a Planului și instituie Comitetele Interministeriale de Coordonare și Comitetul de Monitorizare.</w:t>
            </w:r>
          </w:p>
          <w:p w14:paraId="467A8041" w14:textId="77777777" w:rsidR="005D1889" w:rsidRPr="0036044B" w:rsidRDefault="005D1889" w:rsidP="0036044B">
            <w:pPr>
              <w:widowControl w:val="0"/>
              <w:autoSpaceDE w:val="0"/>
              <w:autoSpaceDN w:val="0"/>
              <w:adjustRightInd w:val="0"/>
              <w:jc w:val="both"/>
              <w:rPr>
                <w:bCs/>
              </w:rPr>
            </w:pPr>
            <w:r w:rsidRPr="0036044B">
              <w:rPr>
                <w:bCs/>
              </w:rPr>
              <w:t>Totodată, Anexa 3.3. din cadrul Planului național de redresare și reziliență al României descrie mecanismul de implementare și control.</w:t>
            </w:r>
          </w:p>
          <w:p w14:paraId="649708FD" w14:textId="4E129AF4" w:rsidR="005D1889" w:rsidRPr="0036044B" w:rsidRDefault="005D1889" w:rsidP="0036044B">
            <w:pPr>
              <w:widowControl w:val="0"/>
              <w:autoSpaceDE w:val="0"/>
              <w:autoSpaceDN w:val="0"/>
              <w:adjustRightInd w:val="0"/>
              <w:jc w:val="both"/>
              <w:rPr>
                <w:bCs/>
              </w:rPr>
            </w:pPr>
            <w:r w:rsidRPr="0036044B">
              <w:rPr>
                <w:bCs/>
              </w:rPr>
              <w:t xml:space="preserve">Prin prezentul act normativ se propune aprobarea </w:t>
            </w:r>
            <w:r w:rsidR="00086663" w:rsidRPr="0036044B">
              <w:rPr>
                <w:bCs/>
              </w:rPr>
              <w:t xml:space="preserve">modificării și completării </w:t>
            </w:r>
            <w:r w:rsidRPr="0036044B">
              <w:rPr>
                <w:bCs/>
              </w:rPr>
              <w:t xml:space="preserve">cadrului instituțional de coordonare și gestionare a fondurilor europene alocate României prin Mecanismul de redresare și reziliență, pentru implementarea Planului național de redresare și reziliență și </w:t>
            </w:r>
            <w:r w:rsidR="00086663" w:rsidRPr="0036044B">
              <w:rPr>
                <w:bCs/>
              </w:rPr>
              <w:t xml:space="preserve">modificarea/completarea </w:t>
            </w:r>
            <w:r w:rsidRPr="0036044B">
              <w:rPr>
                <w:bCs/>
              </w:rPr>
              <w:t>mecanismului privind gestionarea financiară a acestor fonduri</w:t>
            </w:r>
            <w:r w:rsidR="00086663" w:rsidRPr="0036044B">
              <w:rPr>
                <w:bCs/>
              </w:rPr>
              <w:t>, astfel încât să clarifice fluxurile financiare dintre structurile de implementare și coordonatorii de reforme și/sau investiții ți beneficiarii PNRR</w:t>
            </w:r>
            <w:r w:rsidRPr="0036044B">
              <w:rPr>
                <w:bCs/>
              </w:rPr>
              <w:t>.</w:t>
            </w:r>
          </w:p>
          <w:p w14:paraId="1140C7C7" w14:textId="200607AD" w:rsidR="005D1889" w:rsidRPr="0036044B" w:rsidRDefault="005D1889" w:rsidP="0036044B">
            <w:pPr>
              <w:widowControl w:val="0"/>
              <w:autoSpaceDE w:val="0"/>
              <w:autoSpaceDN w:val="0"/>
              <w:adjustRightInd w:val="0"/>
              <w:jc w:val="both"/>
              <w:rPr>
                <w:bCs/>
              </w:rPr>
            </w:pPr>
            <w:r w:rsidRPr="0036044B">
              <w:rPr>
                <w:bCs/>
              </w:rPr>
              <w:t xml:space="preserve">Având în vedere necesitatea modificării și completării cu celeritate a cadrului legal care să clarifice mecanismul  fluxurilor aplicabile investițiilor și proiectelor finanțate din Planul Național de Redresare și Reziliență, cât și a rolurilor diferitelor structuri implicate, în scopul evitării blocajului implementării </w:t>
            </w:r>
            <w:proofErr w:type="spellStart"/>
            <w:r w:rsidRPr="0036044B">
              <w:rPr>
                <w:bCs/>
              </w:rPr>
              <w:t>investiţiilor</w:t>
            </w:r>
            <w:proofErr w:type="spellEnd"/>
            <w:r w:rsidRPr="0036044B">
              <w:rPr>
                <w:bCs/>
              </w:rPr>
              <w:t xml:space="preserve">, respectiv atingerii </w:t>
            </w:r>
            <w:proofErr w:type="spellStart"/>
            <w:r w:rsidRPr="0036044B">
              <w:rPr>
                <w:bCs/>
              </w:rPr>
              <w:t>ţintelor</w:t>
            </w:r>
            <w:proofErr w:type="spellEnd"/>
            <w:r w:rsidRPr="0036044B">
              <w:rPr>
                <w:bCs/>
              </w:rPr>
              <w:t xml:space="preserve"> </w:t>
            </w:r>
            <w:proofErr w:type="spellStart"/>
            <w:r w:rsidRPr="0036044B">
              <w:rPr>
                <w:bCs/>
              </w:rPr>
              <w:t>şi</w:t>
            </w:r>
            <w:proofErr w:type="spellEnd"/>
            <w:r w:rsidRPr="0036044B">
              <w:rPr>
                <w:bCs/>
              </w:rPr>
              <w:t xml:space="preserve"> jaloanelor este necesară modificarea și completarea reglementărilor care să vizeze aspectele </w:t>
            </w:r>
            <w:proofErr w:type="spellStart"/>
            <w:r w:rsidRPr="0036044B">
              <w:rPr>
                <w:bCs/>
              </w:rPr>
              <w:t>menţionate</w:t>
            </w:r>
            <w:proofErr w:type="spellEnd"/>
            <w:r w:rsidRPr="0036044B">
              <w:rPr>
                <w:bCs/>
              </w:rPr>
              <w:t xml:space="preserve"> anterior cu privire la mecanismele și fluxurile aplicabile </w:t>
            </w:r>
            <w:proofErr w:type="spellStart"/>
            <w:r w:rsidRPr="0036044B">
              <w:rPr>
                <w:bCs/>
              </w:rPr>
              <w:t>strucutirlor</w:t>
            </w:r>
            <w:proofErr w:type="spellEnd"/>
            <w:r w:rsidRPr="0036044B">
              <w:rPr>
                <w:bCs/>
              </w:rPr>
              <w:t xml:space="preserve"> implicate în implementarea PNRR </w:t>
            </w:r>
            <w:proofErr w:type="spellStart"/>
            <w:r w:rsidRPr="0036044B">
              <w:rPr>
                <w:bCs/>
              </w:rPr>
              <w:t>şi</w:t>
            </w:r>
            <w:proofErr w:type="spellEnd"/>
            <w:r w:rsidRPr="0036044B">
              <w:rPr>
                <w:bCs/>
              </w:rPr>
              <w:t xml:space="preserve"> care să asigure o corectă utilizare a fondurilor externe nerambursabile/rambursabile alocate României prin Mecanismul de redresare </w:t>
            </w:r>
            <w:proofErr w:type="spellStart"/>
            <w:r w:rsidRPr="0036044B">
              <w:rPr>
                <w:bCs/>
              </w:rPr>
              <w:t>şi</w:t>
            </w:r>
            <w:proofErr w:type="spellEnd"/>
            <w:r w:rsidRPr="0036044B">
              <w:rPr>
                <w:bCs/>
              </w:rPr>
              <w:t xml:space="preserve"> </w:t>
            </w:r>
            <w:proofErr w:type="spellStart"/>
            <w:r w:rsidRPr="0036044B">
              <w:rPr>
                <w:bCs/>
              </w:rPr>
              <w:t>rezilienţă</w:t>
            </w:r>
            <w:proofErr w:type="spellEnd"/>
            <w:r w:rsidRPr="0036044B">
              <w:rPr>
                <w:bCs/>
              </w:rPr>
              <w:t>.</w:t>
            </w:r>
          </w:p>
          <w:p w14:paraId="7D3CC60D" w14:textId="77777777" w:rsidR="005D1889" w:rsidRPr="0036044B" w:rsidRDefault="005D1889" w:rsidP="0036044B">
            <w:pPr>
              <w:widowControl w:val="0"/>
              <w:autoSpaceDE w:val="0"/>
              <w:autoSpaceDN w:val="0"/>
              <w:adjustRightInd w:val="0"/>
              <w:jc w:val="both"/>
              <w:rPr>
                <w:bCs/>
              </w:rPr>
            </w:pPr>
            <w:r w:rsidRPr="0036044B">
              <w:rPr>
                <w:bCs/>
              </w:rPr>
              <w:t xml:space="preserve">Pentru modificarea și completarea Ordonanței de urgență a Guvernului nr. 124/2021 privind stabilirea cadrului </w:t>
            </w:r>
            <w:proofErr w:type="spellStart"/>
            <w:r w:rsidRPr="0036044B">
              <w:rPr>
                <w:bCs/>
              </w:rPr>
              <w:t>instituţional</w:t>
            </w:r>
            <w:proofErr w:type="spellEnd"/>
            <w:r w:rsidRPr="0036044B">
              <w:rPr>
                <w:bCs/>
              </w:rPr>
              <w:t xml:space="preserve"> și financiar pentru gestionarea  fondurilor europene alocate României prin Mecanismul de redresare </w:t>
            </w:r>
            <w:proofErr w:type="spellStart"/>
            <w:r w:rsidRPr="0036044B">
              <w:rPr>
                <w:bCs/>
              </w:rPr>
              <w:t>şi</w:t>
            </w:r>
            <w:proofErr w:type="spellEnd"/>
            <w:r w:rsidRPr="0036044B">
              <w:rPr>
                <w:bCs/>
              </w:rPr>
              <w:t xml:space="preserve"> </w:t>
            </w:r>
            <w:proofErr w:type="spellStart"/>
            <w:r w:rsidRPr="0036044B">
              <w:rPr>
                <w:bCs/>
              </w:rPr>
              <w:t>rezilienţă</w:t>
            </w:r>
            <w:proofErr w:type="spellEnd"/>
            <w:r w:rsidRPr="0036044B">
              <w:rPr>
                <w:bCs/>
              </w:rPr>
              <w:t xml:space="preserve"> se propune armonizarea prevederilor cu OUG 70 privind prevenirea, verificarea și constatarea neregulilor/dublei finanțări, a neregulilor grave apărute în obținerea și utilizarea fondurilor externe nerambursabile/rambursabile alocate României prin Mecanismul de redresare și reziliență și/sau a fondurilor publice naționale aferente acestora și recuperarea creanțelor rezultate, asigurarea fluxului financiar.</w:t>
            </w:r>
          </w:p>
          <w:p w14:paraId="3B68131A" w14:textId="77777777" w:rsidR="005D1889" w:rsidRPr="0036044B" w:rsidRDefault="005D1889" w:rsidP="0036044B">
            <w:pPr>
              <w:widowControl w:val="0"/>
              <w:autoSpaceDE w:val="0"/>
              <w:autoSpaceDN w:val="0"/>
              <w:adjustRightInd w:val="0"/>
              <w:jc w:val="both"/>
              <w:rPr>
                <w:bCs/>
              </w:rPr>
            </w:pPr>
            <w:r w:rsidRPr="0036044B">
              <w:rPr>
                <w:bCs/>
              </w:rPr>
              <w:t xml:space="preserve">Pentru modificarea și completarea Ordonanța de urgență a Guvernului nr. 155/2020 privind unele măsuri pentru elaborarea Planului </w:t>
            </w:r>
            <w:proofErr w:type="spellStart"/>
            <w:r w:rsidRPr="0036044B">
              <w:rPr>
                <w:bCs/>
              </w:rPr>
              <w:t>naţional</w:t>
            </w:r>
            <w:proofErr w:type="spellEnd"/>
            <w:r w:rsidRPr="0036044B">
              <w:rPr>
                <w:bCs/>
              </w:rPr>
              <w:t xml:space="preserve"> de redresare </w:t>
            </w:r>
            <w:proofErr w:type="spellStart"/>
            <w:r w:rsidRPr="0036044B">
              <w:rPr>
                <w:bCs/>
              </w:rPr>
              <w:t>şi</w:t>
            </w:r>
            <w:proofErr w:type="spellEnd"/>
            <w:r w:rsidRPr="0036044B">
              <w:rPr>
                <w:bCs/>
              </w:rPr>
              <w:t xml:space="preserve"> </w:t>
            </w:r>
            <w:proofErr w:type="spellStart"/>
            <w:r w:rsidRPr="0036044B">
              <w:rPr>
                <w:bCs/>
              </w:rPr>
              <w:t>rezilienţă</w:t>
            </w:r>
            <w:proofErr w:type="spellEnd"/>
            <w:r w:rsidRPr="0036044B">
              <w:rPr>
                <w:bCs/>
              </w:rPr>
              <w:t xml:space="preserve"> necesar României pentru accesarea de fonduri externe rambursabile </w:t>
            </w:r>
            <w:proofErr w:type="spellStart"/>
            <w:r w:rsidRPr="0036044B">
              <w:rPr>
                <w:bCs/>
              </w:rPr>
              <w:t>şi</w:t>
            </w:r>
            <w:proofErr w:type="spellEnd"/>
            <w:r w:rsidRPr="0036044B">
              <w:rPr>
                <w:bCs/>
              </w:rPr>
              <w:t xml:space="preserve"> nerambursabile în cadrul Mecanismului de redresare </w:t>
            </w:r>
            <w:proofErr w:type="spellStart"/>
            <w:r w:rsidRPr="0036044B">
              <w:rPr>
                <w:bCs/>
              </w:rPr>
              <w:t>şi</w:t>
            </w:r>
            <w:proofErr w:type="spellEnd"/>
            <w:r w:rsidRPr="0036044B">
              <w:rPr>
                <w:bCs/>
              </w:rPr>
              <w:t xml:space="preserve"> </w:t>
            </w:r>
            <w:proofErr w:type="spellStart"/>
            <w:r w:rsidRPr="0036044B">
              <w:rPr>
                <w:bCs/>
              </w:rPr>
              <w:t>rezilienţă</w:t>
            </w:r>
            <w:proofErr w:type="spellEnd"/>
            <w:r w:rsidRPr="0036044B">
              <w:rPr>
                <w:bCs/>
              </w:rPr>
              <w:t xml:space="preserve">, se propune completarea cadrului legal in vederea plăților către STS  privind </w:t>
            </w:r>
            <w:proofErr w:type="spellStart"/>
            <w:r w:rsidRPr="0036044B">
              <w:rPr>
                <w:bCs/>
              </w:rPr>
              <w:t>achiziţia</w:t>
            </w:r>
            <w:proofErr w:type="spellEnd"/>
            <w:r w:rsidRPr="0036044B">
              <w:rPr>
                <w:bCs/>
              </w:rPr>
              <w:t xml:space="preserve"> de echipamente </w:t>
            </w:r>
            <w:proofErr w:type="spellStart"/>
            <w:r w:rsidRPr="0036044B">
              <w:rPr>
                <w:bCs/>
              </w:rPr>
              <w:t>şi</w:t>
            </w:r>
            <w:proofErr w:type="spellEnd"/>
            <w:r w:rsidRPr="0036044B">
              <w:rPr>
                <w:bCs/>
              </w:rPr>
              <w:t xml:space="preserve"> </w:t>
            </w:r>
            <w:proofErr w:type="spellStart"/>
            <w:r w:rsidRPr="0036044B">
              <w:rPr>
                <w:bCs/>
              </w:rPr>
              <w:t>licenţe</w:t>
            </w:r>
            <w:proofErr w:type="spellEnd"/>
            <w:r w:rsidRPr="0036044B">
              <w:rPr>
                <w:bCs/>
              </w:rPr>
              <w:t xml:space="preserve"> necesare, dezvoltarea, administrarea tehnică </w:t>
            </w:r>
            <w:proofErr w:type="spellStart"/>
            <w:r w:rsidRPr="0036044B">
              <w:rPr>
                <w:bCs/>
              </w:rPr>
              <w:t>şi</w:t>
            </w:r>
            <w:proofErr w:type="spellEnd"/>
            <w:r w:rsidRPr="0036044B">
              <w:rPr>
                <w:bCs/>
              </w:rPr>
              <w:t xml:space="preserve"> </w:t>
            </w:r>
            <w:proofErr w:type="spellStart"/>
            <w:r w:rsidRPr="0036044B">
              <w:rPr>
                <w:bCs/>
              </w:rPr>
              <w:t>mentenanţa</w:t>
            </w:r>
            <w:proofErr w:type="spellEnd"/>
            <w:r w:rsidRPr="0036044B">
              <w:rPr>
                <w:bCs/>
              </w:rPr>
              <w:t xml:space="preserve"> sistemului informatic de management din cadrul Planul Național de Redresare și Reziliență.</w:t>
            </w:r>
          </w:p>
          <w:p w14:paraId="22B1A3BD" w14:textId="77777777" w:rsidR="005D1889" w:rsidRPr="0036044B" w:rsidRDefault="005D1889" w:rsidP="0036044B">
            <w:pPr>
              <w:widowControl w:val="0"/>
              <w:autoSpaceDE w:val="0"/>
              <w:autoSpaceDN w:val="0"/>
              <w:adjustRightInd w:val="0"/>
              <w:jc w:val="both"/>
              <w:rPr>
                <w:bCs/>
              </w:rPr>
            </w:pPr>
            <w:r w:rsidRPr="0036044B">
              <w:rPr>
                <w:bCs/>
              </w:rPr>
              <w:t xml:space="preserve">Prin prezentul act normativ pentru Ministerul Transporturilor si Infrastructurii se propune utilizarea cu prioritate a fondurilor externe nerambursabile PNRR pana la epuizarea acestora </w:t>
            </w:r>
            <w:proofErr w:type="spellStart"/>
            <w:r w:rsidRPr="0036044B">
              <w:rPr>
                <w:bCs/>
              </w:rPr>
              <w:t>avand</w:t>
            </w:r>
            <w:proofErr w:type="spellEnd"/>
            <w:r w:rsidRPr="0036044B">
              <w:rPr>
                <w:bCs/>
              </w:rPr>
              <w:t xml:space="preserve"> in vedere ca fondurile aferente PNRR se </w:t>
            </w:r>
            <w:proofErr w:type="spellStart"/>
            <w:r w:rsidRPr="0036044B">
              <w:rPr>
                <w:bCs/>
              </w:rPr>
              <w:t>regasesc</w:t>
            </w:r>
            <w:proofErr w:type="spellEnd"/>
            <w:r w:rsidRPr="0036044B">
              <w:rPr>
                <w:bCs/>
              </w:rPr>
              <w:t xml:space="preserve"> in conturi  si pot fi alocate mult mai repede </w:t>
            </w:r>
            <w:proofErr w:type="spellStart"/>
            <w:r w:rsidRPr="0036044B">
              <w:rPr>
                <w:bCs/>
              </w:rPr>
              <w:t>decat</w:t>
            </w:r>
            <w:proofErr w:type="spellEnd"/>
            <w:r w:rsidRPr="0036044B">
              <w:rPr>
                <w:bCs/>
              </w:rPr>
              <w:t xml:space="preserve"> cele aferente </w:t>
            </w:r>
            <w:proofErr w:type="spellStart"/>
            <w:r w:rsidRPr="0036044B">
              <w:rPr>
                <w:bCs/>
              </w:rPr>
              <w:t>cofinantarii</w:t>
            </w:r>
            <w:proofErr w:type="spellEnd"/>
            <w:r w:rsidRPr="0036044B">
              <w:rPr>
                <w:bCs/>
              </w:rPr>
              <w:t xml:space="preserve"> </w:t>
            </w:r>
            <w:proofErr w:type="spellStart"/>
            <w:r w:rsidRPr="0036044B">
              <w:rPr>
                <w:bCs/>
              </w:rPr>
              <w:t>nationale</w:t>
            </w:r>
            <w:proofErr w:type="spellEnd"/>
            <w:r w:rsidRPr="0036044B">
              <w:rPr>
                <w:bCs/>
              </w:rPr>
              <w:t xml:space="preserve"> pe care ar trebuie sa le suporte bugetul de stat, </w:t>
            </w:r>
            <w:proofErr w:type="spellStart"/>
            <w:r w:rsidRPr="0036044B">
              <w:rPr>
                <w:bCs/>
              </w:rPr>
              <w:t>eliminand</w:t>
            </w:r>
            <w:proofErr w:type="spellEnd"/>
            <w:r w:rsidRPr="0036044B">
              <w:rPr>
                <w:bCs/>
              </w:rPr>
              <w:t xml:space="preserve"> astfel presiune care ar fi pusa pe bugetul </w:t>
            </w:r>
            <w:r w:rsidRPr="0036044B">
              <w:rPr>
                <w:bCs/>
              </w:rPr>
              <w:lastRenderedPageBreak/>
              <w:t>de stat.</w:t>
            </w:r>
          </w:p>
          <w:p w14:paraId="13E35497" w14:textId="3CD2DB2A" w:rsidR="005D1889" w:rsidRPr="0036044B" w:rsidRDefault="005D1889" w:rsidP="0036044B">
            <w:pPr>
              <w:widowControl w:val="0"/>
              <w:autoSpaceDE w:val="0"/>
              <w:autoSpaceDN w:val="0"/>
              <w:adjustRightInd w:val="0"/>
              <w:jc w:val="both"/>
              <w:rPr>
                <w:bCs/>
              </w:rPr>
            </w:pPr>
            <w:r w:rsidRPr="0036044B">
              <w:rPr>
                <w:bCs/>
              </w:rPr>
              <w:t>De asemenea</w:t>
            </w:r>
            <w:r w:rsidR="00F16F6F" w:rsidRPr="0036044B">
              <w:rPr>
                <w:bCs/>
              </w:rPr>
              <w:t>,</w:t>
            </w:r>
            <w:r w:rsidRPr="0036044B">
              <w:rPr>
                <w:bCs/>
              </w:rPr>
              <w:t xml:space="preserve"> se propune ca sumele care sunt absolut necesare </w:t>
            </w:r>
            <w:proofErr w:type="spellStart"/>
            <w:r w:rsidRPr="0036044B">
              <w:rPr>
                <w:bCs/>
              </w:rPr>
              <w:t>implementarii</w:t>
            </w:r>
            <w:proofErr w:type="spellEnd"/>
            <w:r w:rsidRPr="0036044B">
              <w:rPr>
                <w:bCs/>
              </w:rPr>
              <w:t xml:space="preserve"> proiectelor solicitate la plata prin cererile de transfer de </w:t>
            </w:r>
            <w:proofErr w:type="spellStart"/>
            <w:r w:rsidRPr="0036044B">
              <w:rPr>
                <w:bCs/>
              </w:rPr>
              <w:t>catre</w:t>
            </w:r>
            <w:proofErr w:type="spellEnd"/>
            <w:r w:rsidRPr="0036044B">
              <w:rPr>
                <w:bCs/>
              </w:rPr>
              <w:t xml:space="preserve"> beneficiarii Ministerului Transporturilor si Infrastructurii dar care nu intra in categoria cheltuielilor declarate eligibile sa fie suportate din </w:t>
            </w:r>
            <w:proofErr w:type="spellStart"/>
            <w:r w:rsidRPr="0036044B">
              <w:rPr>
                <w:bCs/>
              </w:rPr>
              <w:t>cofinantare</w:t>
            </w:r>
            <w:proofErr w:type="spellEnd"/>
            <w:r w:rsidRPr="0036044B">
              <w:rPr>
                <w:bCs/>
              </w:rPr>
              <w:t xml:space="preserve"> </w:t>
            </w:r>
            <w:proofErr w:type="spellStart"/>
            <w:r w:rsidRPr="0036044B">
              <w:rPr>
                <w:bCs/>
              </w:rPr>
              <w:t>nationala</w:t>
            </w:r>
            <w:proofErr w:type="spellEnd"/>
            <w:r w:rsidRPr="0036044B">
              <w:rPr>
                <w:bCs/>
              </w:rPr>
              <w:t xml:space="preserve"> </w:t>
            </w:r>
            <w:proofErr w:type="spellStart"/>
            <w:r w:rsidRPr="0036044B">
              <w:rPr>
                <w:bCs/>
              </w:rPr>
              <w:t>avand</w:t>
            </w:r>
            <w:proofErr w:type="spellEnd"/>
            <w:r w:rsidRPr="0036044B">
              <w:rPr>
                <w:bCs/>
              </w:rPr>
              <w:t xml:space="preserve"> in vedere ca beneficiarii MTI in calitate de coordonator de reforma nu dispun de venituri proprii pentru plata acestor </w:t>
            </w:r>
            <w:proofErr w:type="spellStart"/>
            <w:r w:rsidRPr="0036044B">
              <w:rPr>
                <w:bCs/>
              </w:rPr>
              <w:t>cheltuieli,iar</w:t>
            </w:r>
            <w:proofErr w:type="spellEnd"/>
            <w:r w:rsidRPr="0036044B">
              <w:rPr>
                <w:bCs/>
              </w:rPr>
              <w:t xml:space="preserve"> plata lor din </w:t>
            </w:r>
            <w:proofErr w:type="spellStart"/>
            <w:r w:rsidRPr="0036044B">
              <w:rPr>
                <w:bCs/>
              </w:rPr>
              <w:t>cofinantare</w:t>
            </w:r>
            <w:proofErr w:type="spellEnd"/>
            <w:r w:rsidRPr="0036044B">
              <w:rPr>
                <w:bCs/>
              </w:rPr>
              <w:t xml:space="preserve"> </w:t>
            </w:r>
            <w:proofErr w:type="spellStart"/>
            <w:r w:rsidRPr="0036044B">
              <w:rPr>
                <w:bCs/>
              </w:rPr>
              <w:t>nationala</w:t>
            </w:r>
            <w:proofErr w:type="spellEnd"/>
            <w:r w:rsidRPr="0036044B">
              <w:rPr>
                <w:bCs/>
              </w:rPr>
              <w:t xml:space="preserve"> ar duce la evitarea </w:t>
            </w:r>
            <w:proofErr w:type="spellStart"/>
            <w:r w:rsidRPr="0036044B">
              <w:rPr>
                <w:bCs/>
              </w:rPr>
              <w:t>actiunilor</w:t>
            </w:r>
            <w:proofErr w:type="spellEnd"/>
            <w:r w:rsidRPr="0036044B">
              <w:rPr>
                <w:bCs/>
              </w:rPr>
              <w:t xml:space="preserve"> </w:t>
            </w:r>
            <w:proofErr w:type="spellStart"/>
            <w:r w:rsidRPr="0036044B">
              <w:rPr>
                <w:bCs/>
              </w:rPr>
              <w:t>judecatoresti</w:t>
            </w:r>
            <w:proofErr w:type="spellEnd"/>
            <w:r w:rsidRPr="0036044B">
              <w:rPr>
                <w:bCs/>
              </w:rPr>
              <w:t>.</w:t>
            </w:r>
          </w:p>
          <w:p w14:paraId="1330F0E9" w14:textId="6C000676" w:rsidR="005D1889" w:rsidRPr="0036044B" w:rsidRDefault="005D1889" w:rsidP="0036044B">
            <w:pPr>
              <w:widowControl w:val="0"/>
              <w:autoSpaceDE w:val="0"/>
              <w:autoSpaceDN w:val="0"/>
              <w:adjustRightInd w:val="0"/>
              <w:jc w:val="both"/>
              <w:rPr>
                <w:bCs/>
              </w:rPr>
            </w:pPr>
            <w:r w:rsidRPr="0036044B">
              <w:rPr>
                <w:bCs/>
              </w:rPr>
              <w:t xml:space="preserve">In vederea </w:t>
            </w:r>
            <w:proofErr w:type="spellStart"/>
            <w:r w:rsidRPr="0036044B">
              <w:rPr>
                <w:bCs/>
              </w:rPr>
              <w:t>asigurarii</w:t>
            </w:r>
            <w:proofErr w:type="spellEnd"/>
            <w:r w:rsidRPr="0036044B">
              <w:rPr>
                <w:bCs/>
              </w:rPr>
              <w:t xml:space="preserve"> fondurilor necesare </w:t>
            </w:r>
            <w:proofErr w:type="spellStart"/>
            <w:r w:rsidRPr="0036044B">
              <w:rPr>
                <w:bCs/>
              </w:rPr>
              <w:t>platilor</w:t>
            </w:r>
            <w:proofErr w:type="spellEnd"/>
            <w:r w:rsidRPr="0036044B">
              <w:rPr>
                <w:bCs/>
              </w:rPr>
              <w:t xml:space="preserve"> in orice moment al anului se propune pentru Ministerul Transporturilor si </w:t>
            </w:r>
            <w:proofErr w:type="spellStart"/>
            <w:r w:rsidRPr="0036044B">
              <w:rPr>
                <w:bCs/>
              </w:rPr>
              <w:t>Infrastruturii</w:t>
            </w:r>
            <w:proofErr w:type="spellEnd"/>
            <w:r w:rsidRPr="0036044B">
              <w:rPr>
                <w:bCs/>
              </w:rPr>
              <w:t xml:space="preserve"> virarea creditelor bugetare intre titlurile aferente PNRR 60 si respectiv 61 inclusiv prin diminuare fondurilor externe </w:t>
            </w:r>
            <w:proofErr w:type="spellStart"/>
            <w:r w:rsidRPr="0036044B">
              <w:rPr>
                <w:bCs/>
              </w:rPr>
              <w:t>nerambursale</w:t>
            </w:r>
            <w:proofErr w:type="spellEnd"/>
            <w:r w:rsidRPr="0036044B">
              <w:rPr>
                <w:bCs/>
              </w:rPr>
              <w:t xml:space="preserve"> astfel </w:t>
            </w:r>
            <w:proofErr w:type="spellStart"/>
            <w:r w:rsidRPr="0036044B">
              <w:rPr>
                <w:bCs/>
              </w:rPr>
              <w:t>incat</w:t>
            </w:r>
            <w:proofErr w:type="spellEnd"/>
            <w:r w:rsidRPr="0036044B">
              <w:rPr>
                <w:bCs/>
              </w:rPr>
              <w:t xml:space="preserve"> sa fie evitate </w:t>
            </w:r>
            <w:proofErr w:type="spellStart"/>
            <w:r w:rsidRPr="0036044B">
              <w:rPr>
                <w:bCs/>
              </w:rPr>
              <w:t>virarile</w:t>
            </w:r>
            <w:proofErr w:type="spellEnd"/>
            <w:r w:rsidRPr="0036044B">
              <w:rPr>
                <w:bCs/>
              </w:rPr>
              <w:t xml:space="preserve"> respective doar prin legile bugetare anuale sau prin </w:t>
            </w:r>
            <w:proofErr w:type="spellStart"/>
            <w:r w:rsidRPr="0036044B">
              <w:rPr>
                <w:bCs/>
              </w:rPr>
              <w:t>rectificari</w:t>
            </w:r>
            <w:proofErr w:type="spellEnd"/>
            <w:r w:rsidRPr="0036044B">
              <w:rPr>
                <w:bCs/>
              </w:rPr>
              <w:t xml:space="preserve"> bugetare si pentru a nu pune in impas plata antreprenorilor care vor executa </w:t>
            </w:r>
            <w:proofErr w:type="spellStart"/>
            <w:r w:rsidRPr="0036044B">
              <w:rPr>
                <w:bCs/>
              </w:rPr>
              <w:t>lucrarile</w:t>
            </w:r>
            <w:proofErr w:type="spellEnd"/>
            <w:r w:rsidRPr="0036044B">
              <w:rPr>
                <w:bCs/>
              </w:rPr>
              <w:t xml:space="preserve"> de </w:t>
            </w:r>
            <w:proofErr w:type="spellStart"/>
            <w:r w:rsidRPr="0036044B">
              <w:rPr>
                <w:bCs/>
              </w:rPr>
              <w:t>infrastrutura</w:t>
            </w:r>
            <w:proofErr w:type="spellEnd"/>
            <w:r w:rsidR="004A66B5" w:rsidRPr="0036044B">
              <w:rPr>
                <w:bCs/>
              </w:rPr>
              <w:t>.</w:t>
            </w:r>
          </w:p>
          <w:p w14:paraId="5804D307" w14:textId="4C209E9D" w:rsidR="004A66B5" w:rsidRPr="0036044B" w:rsidRDefault="004A66B5" w:rsidP="0036044B">
            <w:pPr>
              <w:widowControl w:val="0"/>
              <w:autoSpaceDE w:val="0"/>
              <w:autoSpaceDN w:val="0"/>
              <w:adjustRightInd w:val="0"/>
              <w:jc w:val="both"/>
              <w:rPr>
                <w:bCs/>
              </w:rPr>
            </w:pPr>
          </w:p>
          <w:p w14:paraId="1D260BAD" w14:textId="02F3F518" w:rsidR="004A66B5" w:rsidRPr="0036044B" w:rsidRDefault="004A66B5" w:rsidP="0036044B">
            <w:pPr>
              <w:widowControl w:val="0"/>
              <w:suppressAutoHyphens/>
              <w:autoSpaceDE w:val="0"/>
              <w:autoSpaceDN w:val="0"/>
              <w:adjustRightInd w:val="0"/>
              <w:jc w:val="both"/>
              <w:textAlignment w:val="baseline"/>
            </w:pPr>
            <w:r w:rsidRPr="0036044B">
              <w:rPr>
                <w:bCs/>
              </w:rPr>
              <w:t>Prin prezentul act normativ pentru CNI, se propune acordarea unei cote de administrare de 4% din valoarea devizului pentru acoperirea cheltuielilor realizate în calitate de structură de implementare. Cota a fost stabilită p</w:t>
            </w:r>
            <w:r w:rsidRPr="0036044B">
              <w:t xml:space="preserve">ornind de la analiza realizata in anul 2019, de </w:t>
            </w:r>
            <w:proofErr w:type="spellStart"/>
            <w:r w:rsidRPr="0036044B">
              <w:t>catre</w:t>
            </w:r>
            <w:proofErr w:type="spellEnd"/>
            <w:r w:rsidRPr="0036044B">
              <w:t xml:space="preserve"> un expert independent, a cheltuielilor forfetare in cuantum de 8% efectuate de CNI pentru realizarea obiectivelor de </w:t>
            </w:r>
            <w:proofErr w:type="spellStart"/>
            <w:r w:rsidRPr="0036044B">
              <w:t>investitii</w:t>
            </w:r>
            <w:proofErr w:type="spellEnd"/>
            <w:r w:rsidRPr="0036044B">
              <w:t xml:space="preserve"> prin PNCIPS, analiza ce a stat la baza </w:t>
            </w:r>
            <w:proofErr w:type="spellStart"/>
            <w:r w:rsidRPr="0036044B">
              <w:t>modificarii</w:t>
            </w:r>
            <w:proofErr w:type="spellEnd"/>
            <w:r w:rsidRPr="0036044B">
              <w:t xml:space="preserve"> OG 25/2001 si raportat strict la cheltuielile ocazionate cu activitatea de implementare a </w:t>
            </w:r>
            <w:proofErr w:type="spellStart"/>
            <w:r w:rsidRPr="0036044B">
              <w:t>investitiilor</w:t>
            </w:r>
            <w:proofErr w:type="spellEnd"/>
            <w:r w:rsidRPr="0036044B">
              <w:t xml:space="preserve"> realizate prin PNRR, structura de cost a cheltuielilor necesare activităților  derulate de ”C.N.I.”-S.A. pentru investițiile din cadrul Planului Național de Redresare și Reziliență  se </w:t>
            </w:r>
            <w:proofErr w:type="spellStart"/>
            <w:r w:rsidRPr="0036044B">
              <w:t>detaliează</w:t>
            </w:r>
            <w:proofErr w:type="spellEnd"/>
            <w:r w:rsidRPr="0036044B">
              <w:t xml:space="preserve"> astfel:</w:t>
            </w:r>
          </w:p>
          <w:p w14:paraId="618BA893" w14:textId="77777777" w:rsidR="004A66B5" w:rsidRPr="0036044B" w:rsidRDefault="004A66B5" w:rsidP="0036044B">
            <w:pPr>
              <w:spacing w:after="160"/>
              <w:contextualSpacing/>
              <w:jc w:val="both"/>
              <w:rPr>
                <w:shd w:val="clear" w:color="auto" w:fill="FFFFFF"/>
                <w:lang w:eastAsia="ro-RO"/>
              </w:rPr>
            </w:pPr>
            <w:r w:rsidRPr="0036044B">
              <w:rPr>
                <w:b/>
                <w:bCs/>
                <w:shd w:val="clear" w:color="auto" w:fill="FFFFFF"/>
                <w:lang w:eastAsia="ro-RO"/>
              </w:rPr>
              <w:t xml:space="preserve">-cheltuielile de </w:t>
            </w:r>
            <w:proofErr w:type="spellStart"/>
            <w:r w:rsidRPr="0036044B">
              <w:rPr>
                <w:b/>
                <w:bCs/>
                <w:shd w:val="clear" w:color="auto" w:fill="FFFFFF"/>
                <w:lang w:eastAsia="ro-RO"/>
              </w:rPr>
              <w:t>consultanţă</w:t>
            </w:r>
            <w:proofErr w:type="spellEnd"/>
            <w:r w:rsidRPr="0036044B">
              <w:rPr>
                <w:b/>
                <w:bCs/>
                <w:shd w:val="clear" w:color="auto" w:fill="FFFFFF"/>
                <w:lang w:eastAsia="ro-RO"/>
              </w:rPr>
              <w:t xml:space="preserve">, </w:t>
            </w:r>
            <w:r w:rsidRPr="0036044B">
              <w:rPr>
                <w:shd w:val="clear" w:color="auto" w:fill="FFFFFF"/>
                <w:lang w:eastAsia="ro-RO"/>
              </w:rPr>
              <w:t xml:space="preserve">in procent de 1,5%, ce </w:t>
            </w:r>
            <w:proofErr w:type="spellStart"/>
            <w:r w:rsidRPr="0036044B">
              <w:rPr>
                <w:shd w:val="clear" w:color="auto" w:fill="FFFFFF"/>
                <w:lang w:eastAsia="ro-RO"/>
              </w:rPr>
              <w:t>reprezinta</w:t>
            </w:r>
            <w:proofErr w:type="spellEnd"/>
            <w:r w:rsidRPr="0036044B">
              <w:rPr>
                <w:shd w:val="clear" w:color="auto" w:fill="FFFFFF"/>
                <w:lang w:eastAsia="ro-RO"/>
              </w:rPr>
              <w:t xml:space="preserve"> cheltuielile cu plata experților specializați pe fonduri europene </w:t>
            </w:r>
            <w:proofErr w:type="spellStart"/>
            <w:r w:rsidRPr="0036044B">
              <w:rPr>
                <w:shd w:val="clear" w:color="auto" w:fill="FFFFFF"/>
                <w:lang w:eastAsia="ro-RO"/>
              </w:rPr>
              <w:t>angajati</w:t>
            </w:r>
            <w:proofErr w:type="spellEnd"/>
            <w:r w:rsidRPr="0036044B">
              <w:rPr>
                <w:shd w:val="clear" w:color="auto" w:fill="FFFFFF"/>
                <w:lang w:eastAsia="ro-RO"/>
              </w:rPr>
              <w:t xml:space="preserve"> pentru verificarea </w:t>
            </w:r>
            <w:proofErr w:type="spellStart"/>
            <w:r w:rsidRPr="0036044B">
              <w:rPr>
                <w:shd w:val="clear" w:color="auto" w:fill="FFFFFF"/>
                <w:lang w:eastAsia="ro-RO"/>
              </w:rPr>
              <w:t>documentatiilor</w:t>
            </w:r>
            <w:proofErr w:type="spellEnd"/>
            <w:r w:rsidRPr="0036044B">
              <w:rPr>
                <w:shd w:val="clear" w:color="auto" w:fill="FFFFFF"/>
                <w:lang w:eastAsia="ro-RO"/>
              </w:rPr>
              <w:t xml:space="preserve">, supervizarea șantierelor pe perioada execuției lucrărilor si a </w:t>
            </w:r>
            <w:proofErr w:type="spellStart"/>
            <w:r w:rsidRPr="0036044B">
              <w:rPr>
                <w:shd w:val="clear" w:color="auto" w:fill="FFFFFF"/>
                <w:lang w:eastAsia="ro-RO"/>
              </w:rPr>
              <w:t>activitatilor</w:t>
            </w:r>
            <w:proofErr w:type="spellEnd"/>
            <w:r w:rsidRPr="0036044B">
              <w:rPr>
                <w:shd w:val="clear" w:color="auto" w:fill="FFFFFF"/>
                <w:lang w:eastAsia="ro-RO"/>
              </w:rPr>
              <w:t xml:space="preserve"> realizate de prestatorii de </w:t>
            </w:r>
            <w:proofErr w:type="spellStart"/>
            <w:r w:rsidRPr="0036044B">
              <w:rPr>
                <w:shd w:val="clear" w:color="auto" w:fill="FFFFFF"/>
                <w:lang w:eastAsia="ro-RO"/>
              </w:rPr>
              <w:t>dirigentie</w:t>
            </w:r>
            <w:proofErr w:type="spellEnd"/>
            <w:r w:rsidRPr="0036044B">
              <w:rPr>
                <w:shd w:val="clear" w:color="auto" w:fill="FFFFFF"/>
                <w:lang w:eastAsia="ro-RO"/>
              </w:rPr>
              <w:t xml:space="preserve"> de </w:t>
            </w:r>
            <w:proofErr w:type="spellStart"/>
            <w:r w:rsidRPr="0036044B">
              <w:rPr>
                <w:shd w:val="clear" w:color="auto" w:fill="FFFFFF"/>
                <w:lang w:eastAsia="ro-RO"/>
              </w:rPr>
              <w:t>sanier</w:t>
            </w:r>
            <w:proofErr w:type="spellEnd"/>
            <w:r w:rsidRPr="0036044B">
              <w:rPr>
                <w:shd w:val="clear" w:color="auto" w:fill="FFFFFF"/>
                <w:lang w:eastAsia="ro-RO"/>
              </w:rPr>
              <w:t xml:space="preserve"> si securitate </w:t>
            </w:r>
            <w:proofErr w:type="spellStart"/>
            <w:r w:rsidRPr="0036044B">
              <w:rPr>
                <w:shd w:val="clear" w:color="auto" w:fill="FFFFFF"/>
                <w:lang w:eastAsia="ro-RO"/>
              </w:rPr>
              <w:t>şi</w:t>
            </w:r>
            <w:proofErr w:type="spellEnd"/>
            <w:r w:rsidRPr="0036044B">
              <w:rPr>
                <w:shd w:val="clear" w:color="auto" w:fill="FFFFFF"/>
                <w:lang w:eastAsia="ro-RO"/>
              </w:rPr>
              <w:t xml:space="preserve"> sănătate în muncă, personal angajat de CNI si implicat în </w:t>
            </w:r>
            <w:proofErr w:type="spellStart"/>
            <w:r w:rsidRPr="0036044B">
              <w:rPr>
                <w:shd w:val="clear" w:color="auto" w:fill="FFFFFF"/>
                <w:lang w:eastAsia="ro-RO"/>
              </w:rPr>
              <w:t>activităţi</w:t>
            </w:r>
            <w:proofErr w:type="spellEnd"/>
            <w:r w:rsidRPr="0036044B">
              <w:rPr>
                <w:shd w:val="clear" w:color="auto" w:fill="FFFFFF"/>
                <w:lang w:eastAsia="ro-RO"/>
              </w:rPr>
              <w:t xml:space="preserve"> aferente aducerii la îndeplinire a etapelor tehnice din cadrul </w:t>
            </w:r>
            <w:proofErr w:type="spellStart"/>
            <w:r w:rsidRPr="0036044B">
              <w:rPr>
                <w:shd w:val="clear" w:color="auto" w:fill="FFFFFF"/>
                <w:lang w:eastAsia="ro-RO"/>
              </w:rPr>
              <w:t>implementarii</w:t>
            </w:r>
            <w:proofErr w:type="spellEnd"/>
            <w:r w:rsidRPr="0036044B">
              <w:rPr>
                <w:shd w:val="clear" w:color="auto" w:fill="FFFFFF"/>
                <w:lang w:eastAsia="ro-RO"/>
              </w:rPr>
              <w:t xml:space="preserve"> de </w:t>
            </w:r>
            <w:proofErr w:type="spellStart"/>
            <w:r w:rsidRPr="0036044B">
              <w:rPr>
                <w:shd w:val="clear" w:color="auto" w:fill="FFFFFF"/>
                <w:lang w:eastAsia="ro-RO"/>
              </w:rPr>
              <w:t>investiţiilor</w:t>
            </w:r>
            <w:proofErr w:type="spellEnd"/>
            <w:r w:rsidRPr="0036044B">
              <w:rPr>
                <w:shd w:val="clear" w:color="auto" w:fill="FFFFFF"/>
                <w:lang w:eastAsia="ro-RO"/>
              </w:rPr>
              <w:t xml:space="preserve"> realizate prin PNRR,  </w:t>
            </w:r>
          </w:p>
          <w:p w14:paraId="45CEED36" w14:textId="77777777" w:rsidR="004A66B5" w:rsidRPr="0036044B" w:rsidRDefault="004A66B5" w:rsidP="0036044B">
            <w:pPr>
              <w:spacing w:after="160"/>
              <w:contextualSpacing/>
              <w:jc w:val="both"/>
              <w:rPr>
                <w:lang w:eastAsia="ro-RO"/>
              </w:rPr>
            </w:pPr>
            <w:r w:rsidRPr="0036044B">
              <w:rPr>
                <w:b/>
                <w:bCs/>
                <w:lang w:eastAsia="ro-RO"/>
              </w:rPr>
              <w:t>-cheltuielile cu managerii de proiecte,</w:t>
            </w:r>
            <w:r w:rsidRPr="0036044B">
              <w:rPr>
                <w:lang w:eastAsia="ro-RO"/>
              </w:rPr>
              <w:t xml:space="preserve"> in procent 1,5%, sunt cele instituite de Hotărârea nr. 300 din 2 martie 2006 privind </w:t>
            </w:r>
            <w:proofErr w:type="spellStart"/>
            <w:r w:rsidRPr="0036044B">
              <w:rPr>
                <w:lang w:eastAsia="ro-RO"/>
              </w:rPr>
              <w:t>cerinţele</w:t>
            </w:r>
            <w:proofErr w:type="spellEnd"/>
            <w:r w:rsidRPr="0036044B">
              <w:rPr>
                <w:lang w:eastAsia="ro-RO"/>
              </w:rPr>
              <w:t xml:space="preserve"> minime de securitate </w:t>
            </w:r>
            <w:proofErr w:type="spellStart"/>
            <w:r w:rsidRPr="0036044B">
              <w:rPr>
                <w:lang w:eastAsia="ro-RO"/>
              </w:rPr>
              <w:t>şi</w:t>
            </w:r>
            <w:proofErr w:type="spellEnd"/>
            <w:r w:rsidRPr="0036044B">
              <w:rPr>
                <w:lang w:eastAsia="ro-RO"/>
              </w:rPr>
              <w:t xml:space="preserve"> sănătate pentru </w:t>
            </w:r>
            <w:proofErr w:type="spellStart"/>
            <w:r w:rsidRPr="0036044B">
              <w:rPr>
                <w:lang w:eastAsia="ro-RO"/>
              </w:rPr>
              <w:t>şantierele</w:t>
            </w:r>
            <w:proofErr w:type="spellEnd"/>
            <w:r w:rsidRPr="0036044B">
              <w:rPr>
                <w:lang w:eastAsia="ro-RO"/>
              </w:rPr>
              <w:t xml:space="preserve"> temporare sau mobile, in  sarcina beneficiarului (investitorului) pentru care se execută lucrarea </w:t>
            </w:r>
            <w:proofErr w:type="spellStart"/>
            <w:r w:rsidRPr="0036044B">
              <w:rPr>
                <w:lang w:eastAsia="ro-RO"/>
              </w:rPr>
              <w:t>şi</w:t>
            </w:r>
            <w:proofErr w:type="spellEnd"/>
            <w:r w:rsidRPr="0036044B">
              <w:rPr>
                <w:lang w:eastAsia="ro-RO"/>
              </w:rPr>
              <w:t xml:space="preserve"> care asigură fondurile necesare realizării acesteia;</w:t>
            </w:r>
          </w:p>
          <w:p w14:paraId="2E6F1A58" w14:textId="77777777" w:rsidR="004A66B5" w:rsidRPr="0036044B" w:rsidRDefault="004A66B5" w:rsidP="0036044B">
            <w:pPr>
              <w:spacing w:after="160"/>
              <w:contextualSpacing/>
              <w:jc w:val="both"/>
              <w:rPr>
                <w:lang w:eastAsia="ro-RO"/>
              </w:rPr>
            </w:pPr>
            <w:r w:rsidRPr="0036044B">
              <w:rPr>
                <w:b/>
                <w:bCs/>
                <w:lang w:eastAsia="ro-RO"/>
              </w:rPr>
              <w:t xml:space="preserve">-cheltuielile administrative, </w:t>
            </w:r>
            <w:r w:rsidRPr="0036044B">
              <w:rPr>
                <w:lang w:eastAsia="ro-RO"/>
              </w:rPr>
              <w:t>in procent de</w:t>
            </w:r>
            <w:r w:rsidRPr="0036044B">
              <w:rPr>
                <w:b/>
                <w:bCs/>
                <w:lang w:eastAsia="ro-RO"/>
              </w:rPr>
              <w:t xml:space="preserve"> </w:t>
            </w:r>
            <w:r w:rsidRPr="0036044B">
              <w:rPr>
                <w:lang w:eastAsia="ro-RO"/>
              </w:rPr>
              <w:t xml:space="preserve">1%, ce </w:t>
            </w:r>
            <w:proofErr w:type="spellStart"/>
            <w:r w:rsidRPr="0036044B">
              <w:rPr>
                <w:lang w:eastAsia="ro-RO"/>
              </w:rPr>
              <w:t>reprezinta</w:t>
            </w:r>
            <w:proofErr w:type="spellEnd"/>
            <w:r w:rsidRPr="0036044B">
              <w:rPr>
                <w:lang w:eastAsia="ro-RO"/>
              </w:rPr>
              <w:t xml:space="preserve"> cheltuielile cu personalul CNI implicat în </w:t>
            </w:r>
            <w:proofErr w:type="spellStart"/>
            <w:r w:rsidRPr="0036044B">
              <w:rPr>
                <w:lang w:eastAsia="ro-RO"/>
              </w:rPr>
              <w:t>activităţile</w:t>
            </w:r>
            <w:proofErr w:type="spellEnd"/>
            <w:r w:rsidRPr="0036044B">
              <w:rPr>
                <w:lang w:eastAsia="ro-RO"/>
              </w:rPr>
              <w:t xml:space="preserve"> de </w:t>
            </w:r>
            <w:proofErr w:type="spellStart"/>
            <w:r w:rsidRPr="0036044B">
              <w:rPr>
                <w:lang w:eastAsia="ro-RO"/>
              </w:rPr>
              <w:t>mentenanţă</w:t>
            </w:r>
            <w:proofErr w:type="spellEnd"/>
            <w:r w:rsidRPr="0036044B">
              <w:rPr>
                <w:lang w:eastAsia="ro-RO"/>
              </w:rPr>
              <w:t xml:space="preserve"> </w:t>
            </w:r>
            <w:proofErr w:type="spellStart"/>
            <w:r w:rsidRPr="0036044B">
              <w:rPr>
                <w:lang w:eastAsia="ro-RO"/>
              </w:rPr>
              <w:t>şi</w:t>
            </w:r>
            <w:proofErr w:type="spellEnd"/>
            <w:r w:rsidRPr="0036044B">
              <w:rPr>
                <w:lang w:eastAsia="ro-RO"/>
              </w:rPr>
              <w:t xml:space="preserve"> orice altele </w:t>
            </w:r>
            <w:proofErr w:type="spellStart"/>
            <w:r w:rsidRPr="0036044B">
              <w:rPr>
                <w:lang w:eastAsia="ro-RO"/>
              </w:rPr>
              <w:t>activităţi</w:t>
            </w:r>
            <w:proofErr w:type="spellEnd"/>
            <w:r w:rsidRPr="0036044B">
              <w:rPr>
                <w:lang w:eastAsia="ro-RO"/>
              </w:rPr>
              <w:t xml:space="preserve"> care vin în sprijinul celor  tehnice din cadrul proiectelor de </w:t>
            </w:r>
            <w:proofErr w:type="spellStart"/>
            <w:r w:rsidRPr="0036044B">
              <w:rPr>
                <w:lang w:eastAsia="ro-RO"/>
              </w:rPr>
              <w:t>investiţii</w:t>
            </w:r>
            <w:proofErr w:type="spellEnd"/>
            <w:r w:rsidRPr="0036044B">
              <w:rPr>
                <w:lang w:eastAsia="ro-RO"/>
              </w:rPr>
              <w:t xml:space="preserve"> cum ar fi: </w:t>
            </w:r>
          </w:p>
          <w:p w14:paraId="2E56D48F" w14:textId="77777777" w:rsidR="004A66B5" w:rsidRPr="0036044B" w:rsidRDefault="004A66B5" w:rsidP="0036044B">
            <w:pPr>
              <w:numPr>
                <w:ilvl w:val="0"/>
                <w:numId w:val="16"/>
              </w:numPr>
              <w:spacing w:after="160"/>
              <w:ind w:left="1260"/>
              <w:contextualSpacing/>
              <w:jc w:val="both"/>
              <w:rPr>
                <w:lang w:eastAsia="ro-RO"/>
              </w:rPr>
            </w:pPr>
            <w:r w:rsidRPr="0036044B">
              <w:rPr>
                <w:lang w:eastAsia="ro-RO"/>
              </w:rPr>
              <w:t xml:space="preserve">cheltuielile din cadrul departamentului de achiziții aferente organizării </w:t>
            </w:r>
            <w:proofErr w:type="spellStart"/>
            <w:r w:rsidRPr="0036044B">
              <w:rPr>
                <w:lang w:eastAsia="ro-RO"/>
              </w:rPr>
              <w:t>activităţii</w:t>
            </w:r>
            <w:proofErr w:type="spellEnd"/>
            <w:r w:rsidRPr="0036044B">
              <w:rPr>
                <w:lang w:eastAsia="ro-RO"/>
              </w:rPr>
              <w:t xml:space="preserve"> CNI (</w:t>
            </w:r>
            <w:proofErr w:type="spellStart"/>
            <w:r w:rsidRPr="0036044B">
              <w:rPr>
                <w:lang w:eastAsia="ro-RO"/>
              </w:rPr>
              <w:t>achiziţionarea</w:t>
            </w:r>
            <w:proofErr w:type="spellEnd"/>
            <w:r w:rsidRPr="0036044B">
              <w:rPr>
                <w:lang w:eastAsia="ro-RO"/>
              </w:rPr>
              <w:t xml:space="preserve"> </w:t>
            </w:r>
            <w:proofErr w:type="spellStart"/>
            <w:r w:rsidRPr="0036044B">
              <w:rPr>
                <w:lang w:eastAsia="ro-RO"/>
              </w:rPr>
              <w:t>prestatatorilor</w:t>
            </w:r>
            <w:proofErr w:type="spellEnd"/>
            <w:r w:rsidRPr="0036044B">
              <w:rPr>
                <w:lang w:eastAsia="ro-RO"/>
              </w:rPr>
              <w:t xml:space="preserve"> de servicii </w:t>
            </w:r>
            <w:proofErr w:type="spellStart"/>
            <w:r w:rsidRPr="0036044B">
              <w:rPr>
                <w:lang w:eastAsia="ro-RO"/>
              </w:rPr>
              <w:t>externalizaţi</w:t>
            </w:r>
            <w:proofErr w:type="spellEnd"/>
            <w:r w:rsidRPr="0036044B">
              <w:rPr>
                <w:lang w:eastAsia="ro-RO"/>
              </w:rPr>
              <w:t>, evaluare oferte);</w:t>
            </w:r>
          </w:p>
          <w:p w14:paraId="542542F2" w14:textId="77777777" w:rsidR="004A66B5" w:rsidRPr="0036044B" w:rsidRDefault="004A66B5" w:rsidP="0036044B">
            <w:pPr>
              <w:numPr>
                <w:ilvl w:val="0"/>
                <w:numId w:val="16"/>
              </w:numPr>
              <w:spacing w:after="160"/>
              <w:ind w:left="1260"/>
              <w:contextualSpacing/>
              <w:jc w:val="both"/>
              <w:rPr>
                <w:lang w:eastAsia="ro-RO"/>
              </w:rPr>
            </w:pPr>
            <w:r w:rsidRPr="0036044B">
              <w:rPr>
                <w:lang w:eastAsia="ro-RO"/>
              </w:rPr>
              <w:t xml:space="preserve">cheltuielile din cadrul departamentului de resurse umane </w:t>
            </w:r>
            <w:proofErr w:type="spellStart"/>
            <w:r w:rsidRPr="0036044B">
              <w:rPr>
                <w:lang w:eastAsia="ro-RO"/>
              </w:rPr>
              <w:t>umane</w:t>
            </w:r>
            <w:proofErr w:type="spellEnd"/>
            <w:r w:rsidRPr="0036044B">
              <w:rPr>
                <w:lang w:eastAsia="ro-RO"/>
              </w:rPr>
              <w:t>;</w:t>
            </w:r>
          </w:p>
          <w:p w14:paraId="34862551" w14:textId="77777777" w:rsidR="004A66B5" w:rsidRPr="0036044B" w:rsidRDefault="004A66B5" w:rsidP="0036044B">
            <w:pPr>
              <w:numPr>
                <w:ilvl w:val="0"/>
                <w:numId w:val="16"/>
              </w:numPr>
              <w:spacing w:after="160"/>
              <w:ind w:left="1260"/>
              <w:contextualSpacing/>
              <w:jc w:val="both"/>
              <w:rPr>
                <w:lang w:eastAsia="ro-RO"/>
              </w:rPr>
            </w:pPr>
            <w:r w:rsidRPr="0036044B">
              <w:rPr>
                <w:lang w:eastAsia="ro-RO"/>
              </w:rPr>
              <w:t xml:space="preserve">cheltuielile din cadrul departamentelor de contabilitate si </w:t>
            </w:r>
            <w:proofErr w:type="spellStart"/>
            <w:r w:rsidRPr="0036044B">
              <w:rPr>
                <w:lang w:eastAsia="ro-RO"/>
              </w:rPr>
              <w:t>plati</w:t>
            </w:r>
            <w:proofErr w:type="spellEnd"/>
            <w:r w:rsidRPr="0036044B">
              <w:rPr>
                <w:lang w:eastAsia="ro-RO"/>
              </w:rPr>
              <w:t>;</w:t>
            </w:r>
          </w:p>
          <w:p w14:paraId="19526161" w14:textId="77777777" w:rsidR="004A66B5" w:rsidRPr="0036044B" w:rsidRDefault="004A66B5" w:rsidP="0036044B">
            <w:pPr>
              <w:numPr>
                <w:ilvl w:val="0"/>
                <w:numId w:val="16"/>
              </w:numPr>
              <w:spacing w:after="160"/>
              <w:ind w:left="1260"/>
              <w:contextualSpacing/>
              <w:jc w:val="both"/>
              <w:rPr>
                <w:lang w:eastAsia="ro-RO"/>
              </w:rPr>
            </w:pPr>
            <w:r w:rsidRPr="0036044B">
              <w:rPr>
                <w:lang w:eastAsia="ro-RO"/>
              </w:rPr>
              <w:t xml:space="preserve">cheltuielile aferente </w:t>
            </w:r>
            <w:proofErr w:type="spellStart"/>
            <w:r w:rsidRPr="0036044B">
              <w:rPr>
                <w:lang w:eastAsia="ro-RO"/>
              </w:rPr>
              <w:t>activităţilor</w:t>
            </w:r>
            <w:proofErr w:type="spellEnd"/>
            <w:r w:rsidRPr="0036044B">
              <w:rPr>
                <w:lang w:eastAsia="ro-RO"/>
              </w:rPr>
              <w:t xml:space="preserve"> de transport;</w:t>
            </w:r>
          </w:p>
          <w:p w14:paraId="5DA0D0E3" w14:textId="77777777" w:rsidR="000D69AF" w:rsidRPr="0036044B" w:rsidRDefault="000D69AF" w:rsidP="0036044B">
            <w:pPr>
              <w:numPr>
                <w:ilvl w:val="0"/>
                <w:numId w:val="16"/>
              </w:numPr>
              <w:spacing w:after="160"/>
              <w:ind w:left="1260"/>
              <w:contextualSpacing/>
              <w:jc w:val="both"/>
              <w:rPr>
                <w:lang w:eastAsia="ro-RO"/>
              </w:rPr>
            </w:pPr>
            <w:r w:rsidRPr="0036044B">
              <w:rPr>
                <w:lang w:eastAsia="ro-RO"/>
              </w:rPr>
              <w:t>cheltuielile aferente administrării birourilor;</w:t>
            </w:r>
          </w:p>
          <w:p w14:paraId="7D7A763E" w14:textId="77777777" w:rsidR="000D69AF" w:rsidRPr="0036044B" w:rsidRDefault="000D69AF" w:rsidP="0036044B">
            <w:pPr>
              <w:numPr>
                <w:ilvl w:val="0"/>
                <w:numId w:val="16"/>
              </w:numPr>
              <w:spacing w:after="160"/>
              <w:ind w:left="1260"/>
              <w:contextualSpacing/>
              <w:jc w:val="both"/>
              <w:rPr>
                <w:lang w:eastAsia="ro-RO"/>
              </w:rPr>
            </w:pPr>
            <w:r w:rsidRPr="0036044B">
              <w:rPr>
                <w:lang w:eastAsia="ro-RO"/>
              </w:rPr>
              <w:t xml:space="preserve">cheltuielile din cadrul departamentului IT; </w:t>
            </w:r>
          </w:p>
          <w:p w14:paraId="5E1735C3" w14:textId="77777777" w:rsidR="000D69AF" w:rsidRPr="0036044B" w:rsidRDefault="000D69AF" w:rsidP="0036044B">
            <w:pPr>
              <w:numPr>
                <w:ilvl w:val="0"/>
                <w:numId w:val="16"/>
              </w:numPr>
              <w:spacing w:after="160"/>
              <w:ind w:left="1260"/>
              <w:contextualSpacing/>
              <w:jc w:val="both"/>
              <w:rPr>
                <w:lang w:eastAsia="ro-RO"/>
              </w:rPr>
            </w:pPr>
            <w:r w:rsidRPr="0036044B">
              <w:rPr>
                <w:lang w:eastAsia="ro-RO"/>
              </w:rPr>
              <w:t xml:space="preserve">cheltuielile din cadrul departamentului de control intern </w:t>
            </w:r>
            <w:proofErr w:type="spellStart"/>
            <w:r w:rsidRPr="0036044B">
              <w:rPr>
                <w:lang w:eastAsia="ro-RO"/>
              </w:rPr>
              <w:t>şi</w:t>
            </w:r>
            <w:proofErr w:type="spellEnd"/>
            <w:r w:rsidRPr="0036044B">
              <w:rPr>
                <w:lang w:eastAsia="ro-RO"/>
              </w:rPr>
              <w:t xml:space="preserve"> control financiar preventiv (CFP), comunicare;</w:t>
            </w:r>
          </w:p>
          <w:p w14:paraId="3B7662D1" w14:textId="77777777" w:rsidR="000D69AF" w:rsidRPr="0036044B" w:rsidRDefault="000D69AF" w:rsidP="0036044B">
            <w:pPr>
              <w:numPr>
                <w:ilvl w:val="0"/>
                <w:numId w:val="16"/>
              </w:numPr>
              <w:spacing w:after="160"/>
              <w:ind w:left="1260"/>
              <w:contextualSpacing/>
              <w:jc w:val="both"/>
              <w:rPr>
                <w:lang w:eastAsia="ro-RO"/>
              </w:rPr>
            </w:pPr>
            <w:r w:rsidRPr="0036044B">
              <w:rPr>
                <w:lang w:eastAsia="ro-RO"/>
              </w:rPr>
              <w:t>cheltuielile din cadrul departamentului de audit intern;</w:t>
            </w:r>
          </w:p>
          <w:p w14:paraId="47B9B1C2" w14:textId="77777777" w:rsidR="000D69AF" w:rsidRPr="0036044B" w:rsidRDefault="000D69AF" w:rsidP="0036044B">
            <w:pPr>
              <w:numPr>
                <w:ilvl w:val="0"/>
                <w:numId w:val="16"/>
              </w:numPr>
              <w:spacing w:after="160"/>
              <w:ind w:left="1260"/>
              <w:contextualSpacing/>
              <w:jc w:val="both"/>
              <w:rPr>
                <w:lang w:eastAsia="ro-RO"/>
              </w:rPr>
            </w:pPr>
            <w:r w:rsidRPr="0036044B">
              <w:rPr>
                <w:lang w:eastAsia="ro-RO"/>
              </w:rPr>
              <w:t>cheltuielile fixe cu clădirile;</w:t>
            </w:r>
          </w:p>
          <w:p w14:paraId="39E54468" w14:textId="77777777" w:rsidR="000D69AF" w:rsidRPr="0036044B" w:rsidRDefault="000D69AF" w:rsidP="0036044B">
            <w:pPr>
              <w:numPr>
                <w:ilvl w:val="0"/>
                <w:numId w:val="16"/>
              </w:numPr>
              <w:spacing w:after="160"/>
              <w:ind w:left="1260"/>
              <w:contextualSpacing/>
              <w:jc w:val="both"/>
              <w:rPr>
                <w:lang w:eastAsia="ro-RO"/>
              </w:rPr>
            </w:pPr>
            <w:r w:rsidRPr="0036044B">
              <w:rPr>
                <w:lang w:eastAsia="ro-RO"/>
              </w:rPr>
              <w:t>cheltuielile cu stocuri;</w:t>
            </w:r>
          </w:p>
          <w:p w14:paraId="2B7E16F5" w14:textId="77777777" w:rsidR="000D69AF" w:rsidRPr="0036044B" w:rsidRDefault="000D69AF" w:rsidP="0036044B">
            <w:pPr>
              <w:numPr>
                <w:ilvl w:val="0"/>
                <w:numId w:val="16"/>
              </w:numPr>
              <w:spacing w:after="160"/>
              <w:ind w:left="1260"/>
              <w:contextualSpacing/>
              <w:jc w:val="both"/>
              <w:rPr>
                <w:lang w:eastAsia="ro-RO"/>
              </w:rPr>
            </w:pPr>
            <w:r w:rsidRPr="0036044B">
              <w:rPr>
                <w:lang w:eastAsia="ro-RO"/>
              </w:rPr>
              <w:t>cheltuielile de amortizare.</w:t>
            </w:r>
          </w:p>
          <w:p w14:paraId="1F43924B" w14:textId="77777777" w:rsidR="000D69AF" w:rsidRPr="0036044B" w:rsidRDefault="000D69AF" w:rsidP="0036044B">
            <w:pPr>
              <w:tabs>
                <w:tab w:val="left" w:pos="1560"/>
              </w:tabs>
              <w:autoSpaceDE w:val="0"/>
              <w:autoSpaceDN w:val="0"/>
              <w:adjustRightInd w:val="0"/>
              <w:spacing w:after="160"/>
              <w:jc w:val="both"/>
              <w:rPr>
                <w:rFonts w:eastAsia="Trebuchet MS"/>
              </w:rPr>
            </w:pPr>
            <w:r w:rsidRPr="0036044B">
              <w:rPr>
                <w:rFonts w:eastAsia="Calibri"/>
              </w:rPr>
              <w:t xml:space="preserve">Întrucât pentru realizarea </w:t>
            </w:r>
            <w:proofErr w:type="spellStart"/>
            <w:r w:rsidRPr="0036044B">
              <w:rPr>
                <w:rFonts w:eastAsia="Calibri"/>
              </w:rPr>
              <w:t>activitatilor</w:t>
            </w:r>
            <w:proofErr w:type="spellEnd"/>
            <w:r w:rsidRPr="0036044B">
              <w:rPr>
                <w:rFonts w:eastAsia="Calibri"/>
              </w:rPr>
              <w:t xml:space="preserve"> de implementare a </w:t>
            </w:r>
            <w:proofErr w:type="spellStart"/>
            <w:r w:rsidRPr="0036044B">
              <w:rPr>
                <w:rFonts w:eastAsia="Calibri"/>
              </w:rPr>
              <w:t>investitiilor</w:t>
            </w:r>
            <w:proofErr w:type="spellEnd"/>
            <w:r w:rsidRPr="0036044B">
              <w:rPr>
                <w:rFonts w:eastAsia="Calibri"/>
              </w:rPr>
              <w:t xml:space="preserve"> din cadrul PNRR, CNI în calitate de </w:t>
            </w:r>
            <w:r w:rsidRPr="0036044B">
              <w:rPr>
                <w:rFonts w:eastAsia="Trebuchet MS"/>
              </w:rPr>
              <w:t>în calitate de agenție de implementare a proiectelor/structură de implementare pentru anumite obiective de investiții finanțate în cadrul componentelor Planului Național de Redresare și Reziliență, în numele beneficiarilor, precum și de furnizor de servicii de interes economic general</w:t>
            </w:r>
            <w:r w:rsidRPr="0036044B">
              <w:rPr>
                <w:rFonts w:eastAsia="Calibri"/>
              </w:rPr>
              <w:t xml:space="preserve">, nu va realiza activitățile necesare elaborării și aprobării documentațiilor </w:t>
            </w:r>
            <w:proofErr w:type="spellStart"/>
            <w:r w:rsidRPr="0036044B">
              <w:rPr>
                <w:rFonts w:eastAsia="Calibri"/>
              </w:rPr>
              <w:t>tehnico</w:t>
            </w:r>
            <w:proofErr w:type="spellEnd"/>
            <w:r w:rsidRPr="0036044B">
              <w:rPr>
                <w:rFonts w:eastAsia="Calibri"/>
              </w:rPr>
              <w:t xml:space="preserve">-economice, acestea fiind puse la dispoziție de către beneficiarii finali, considerăm justificată aplicarea unei cote in cuantum de 4% </w:t>
            </w:r>
            <w:r w:rsidRPr="0036044B">
              <w:rPr>
                <w:rFonts w:eastAsia="Trebuchet MS"/>
              </w:rPr>
              <w:t xml:space="preserve">din valoarea devizului, care </w:t>
            </w:r>
            <w:r w:rsidRPr="0036044B">
              <w:rPr>
                <w:rFonts w:eastAsia="Trebuchet MS"/>
              </w:rPr>
              <w:lastRenderedPageBreak/>
              <w:t>se va încasa pe măsura decontării lucrărilor executate, din fonduri alocate din bugetul de stat prin bugetul ordonatorului principal de credite cu rol de coordonator de reforme și/sau investiții.</w:t>
            </w:r>
          </w:p>
          <w:p w14:paraId="5187D4C0" w14:textId="77777777" w:rsidR="005D1889" w:rsidRPr="0036044B" w:rsidRDefault="005D1889" w:rsidP="0036044B">
            <w:pPr>
              <w:widowControl w:val="0"/>
              <w:autoSpaceDE w:val="0"/>
              <w:autoSpaceDN w:val="0"/>
              <w:adjustRightInd w:val="0"/>
              <w:jc w:val="both"/>
              <w:rPr>
                <w:bCs/>
              </w:rPr>
            </w:pPr>
            <w:r w:rsidRPr="0036044B">
              <w:rPr>
                <w:bCs/>
              </w:rPr>
              <w:t>Proiectul de act normativ definește următoarele elemente cheie:</w:t>
            </w:r>
          </w:p>
          <w:p w14:paraId="6815EF3A" w14:textId="2B6BC17B" w:rsidR="005D1889" w:rsidRPr="0036044B" w:rsidRDefault="004E0E23" w:rsidP="0036044B">
            <w:pPr>
              <w:widowControl w:val="0"/>
              <w:numPr>
                <w:ilvl w:val="0"/>
                <w:numId w:val="15"/>
              </w:numPr>
              <w:autoSpaceDE w:val="0"/>
              <w:autoSpaceDN w:val="0"/>
              <w:adjustRightInd w:val="0"/>
              <w:jc w:val="both"/>
              <w:rPr>
                <w:bCs/>
              </w:rPr>
            </w:pPr>
            <w:r w:rsidRPr="0036044B">
              <w:rPr>
                <w:bCs/>
              </w:rPr>
              <w:t>Structurile de implementare, convențiile de implementare, protocoalele de colaborare, cererile de fonduri și modalitatea prin care se implementează proiectele de către structurile de implementare;</w:t>
            </w:r>
          </w:p>
          <w:p w14:paraId="2C876122" w14:textId="77777777" w:rsidR="005D1889" w:rsidRPr="0036044B" w:rsidRDefault="005D1889" w:rsidP="0036044B">
            <w:pPr>
              <w:widowControl w:val="0"/>
              <w:numPr>
                <w:ilvl w:val="0"/>
                <w:numId w:val="15"/>
              </w:numPr>
              <w:autoSpaceDE w:val="0"/>
              <w:autoSpaceDN w:val="0"/>
              <w:adjustRightInd w:val="0"/>
              <w:jc w:val="both"/>
              <w:rPr>
                <w:bCs/>
              </w:rPr>
            </w:pPr>
            <w:r w:rsidRPr="0036044B">
              <w:rPr>
                <w:bCs/>
              </w:rPr>
              <w:t xml:space="preserve">Creditele de angajament si creditele bugetare necesare </w:t>
            </w:r>
            <w:proofErr w:type="spellStart"/>
            <w:r w:rsidRPr="0036044B">
              <w:rPr>
                <w:bCs/>
              </w:rPr>
              <w:t>implementarii</w:t>
            </w:r>
            <w:proofErr w:type="spellEnd"/>
            <w:r w:rsidRPr="0036044B">
              <w:rPr>
                <w:bCs/>
              </w:rPr>
              <w:t xml:space="preserve"> reformelor si/sau </w:t>
            </w:r>
            <w:proofErr w:type="spellStart"/>
            <w:r w:rsidRPr="0036044B">
              <w:rPr>
                <w:bCs/>
              </w:rPr>
              <w:t>investitiilor</w:t>
            </w:r>
            <w:proofErr w:type="spellEnd"/>
            <w:r w:rsidRPr="0036044B">
              <w:rPr>
                <w:bCs/>
              </w:rPr>
              <w:t xml:space="preserve"> aferente componentei 4 Transport sustenabil se vor vira intre </w:t>
            </w:r>
            <w:proofErr w:type="spellStart"/>
            <w:r w:rsidRPr="0036044B">
              <w:rPr>
                <w:bCs/>
              </w:rPr>
              <w:t>titlutile</w:t>
            </w:r>
            <w:proofErr w:type="spellEnd"/>
            <w:r w:rsidRPr="0036044B">
              <w:rPr>
                <w:bCs/>
              </w:rPr>
              <w:t xml:space="preserve"> aferente PNRR respectiv 60 si 61 inclusiv cu diminuarea fondurilor externe nerambursabile in bugetul Ministerului Transporturilor si Infrastructurii.</w:t>
            </w:r>
          </w:p>
          <w:p w14:paraId="60A61FC1" w14:textId="77777777" w:rsidR="005D1889" w:rsidRPr="0036044B" w:rsidRDefault="005D1889" w:rsidP="0036044B">
            <w:pPr>
              <w:widowControl w:val="0"/>
              <w:numPr>
                <w:ilvl w:val="0"/>
                <w:numId w:val="15"/>
              </w:numPr>
              <w:autoSpaceDE w:val="0"/>
              <w:autoSpaceDN w:val="0"/>
              <w:adjustRightInd w:val="0"/>
              <w:jc w:val="both"/>
              <w:rPr>
                <w:bCs/>
              </w:rPr>
            </w:pPr>
            <w:r w:rsidRPr="0036044B">
              <w:rPr>
                <w:bCs/>
              </w:rPr>
              <w:t xml:space="preserve">Sumele ce nu vor fi autorizate  si care nu vor intra in categoria cheltuielilor eligibile solicitate prin cererile de transfer de </w:t>
            </w:r>
            <w:proofErr w:type="spellStart"/>
            <w:r w:rsidRPr="0036044B">
              <w:rPr>
                <w:bCs/>
              </w:rPr>
              <w:t>catre</w:t>
            </w:r>
            <w:proofErr w:type="spellEnd"/>
            <w:r w:rsidRPr="0036044B">
              <w:rPr>
                <w:bCs/>
              </w:rPr>
              <w:t xml:space="preserve"> beneficiarii Ministerului Transporturilor si Infrastructurii in calitate de coordonator de reforma dar sunt absolut necesare </w:t>
            </w:r>
            <w:proofErr w:type="spellStart"/>
            <w:r w:rsidRPr="0036044B">
              <w:rPr>
                <w:bCs/>
              </w:rPr>
              <w:t>implementarii</w:t>
            </w:r>
            <w:proofErr w:type="spellEnd"/>
            <w:r w:rsidRPr="0036044B">
              <w:rPr>
                <w:bCs/>
              </w:rPr>
              <w:t xml:space="preserve"> proiectelor vor fi </w:t>
            </w:r>
            <w:proofErr w:type="spellStart"/>
            <w:r w:rsidRPr="0036044B">
              <w:rPr>
                <w:bCs/>
              </w:rPr>
              <w:t>platite</w:t>
            </w:r>
            <w:proofErr w:type="spellEnd"/>
            <w:r w:rsidRPr="0036044B">
              <w:rPr>
                <w:bCs/>
              </w:rPr>
              <w:t xml:space="preserve"> din </w:t>
            </w:r>
            <w:proofErr w:type="spellStart"/>
            <w:r w:rsidRPr="0036044B">
              <w:rPr>
                <w:bCs/>
              </w:rPr>
              <w:t>cofinantare</w:t>
            </w:r>
            <w:proofErr w:type="spellEnd"/>
            <w:r w:rsidRPr="0036044B">
              <w:rPr>
                <w:bCs/>
              </w:rPr>
              <w:t xml:space="preserve"> </w:t>
            </w:r>
            <w:proofErr w:type="spellStart"/>
            <w:r w:rsidRPr="0036044B">
              <w:rPr>
                <w:bCs/>
              </w:rPr>
              <w:t>nationala</w:t>
            </w:r>
            <w:proofErr w:type="spellEnd"/>
            <w:r w:rsidRPr="0036044B">
              <w:rPr>
                <w:bCs/>
              </w:rPr>
              <w:t xml:space="preserve"> alocata proiectelor PNRR prin bugetul Ministerului Transporturilor si Infrastructurii</w:t>
            </w:r>
          </w:p>
          <w:p w14:paraId="601D171D" w14:textId="77777777" w:rsidR="005D1889" w:rsidRPr="0036044B" w:rsidRDefault="005D1889" w:rsidP="0036044B">
            <w:pPr>
              <w:widowControl w:val="0"/>
              <w:numPr>
                <w:ilvl w:val="0"/>
                <w:numId w:val="15"/>
              </w:numPr>
              <w:autoSpaceDE w:val="0"/>
              <w:autoSpaceDN w:val="0"/>
              <w:adjustRightInd w:val="0"/>
              <w:jc w:val="both"/>
              <w:rPr>
                <w:bCs/>
              </w:rPr>
            </w:pPr>
            <w:r w:rsidRPr="0036044B">
              <w:rPr>
                <w:bCs/>
              </w:rPr>
              <w:t xml:space="preserve">Pentru proiectele derulate in cadrul PNRR pentru coordonatori de reforma se impun conform OUG 119 </w:t>
            </w:r>
            <w:proofErr w:type="spellStart"/>
            <w:r w:rsidRPr="0036044B">
              <w:rPr>
                <w:bCs/>
              </w:rPr>
              <w:t>verificari</w:t>
            </w:r>
            <w:proofErr w:type="spellEnd"/>
            <w:r w:rsidRPr="0036044B">
              <w:rPr>
                <w:bCs/>
              </w:rPr>
              <w:t xml:space="preserve"> bazate pe controlul financiar preventiv </w:t>
            </w:r>
            <w:proofErr w:type="spellStart"/>
            <w:r w:rsidRPr="0036044B">
              <w:rPr>
                <w:bCs/>
              </w:rPr>
              <w:t>atat</w:t>
            </w:r>
            <w:proofErr w:type="spellEnd"/>
            <w:r w:rsidRPr="0036044B">
              <w:rPr>
                <w:bCs/>
              </w:rPr>
              <w:t xml:space="preserve"> propriu cat si delegat</w:t>
            </w:r>
          </w:p>
          <w:p w14:paraId="570C91DE" w14:textId="7D5B6219" w:rsidR="005D1889" w:rsidRPr="0036044B" w:rsidRDefault="005D1889" w:rsidP="0036044B">
            <w:pPr>
              <w:widowControl w:val="0"/>
              <w:numPr>
                <w:ilvl w:val="0"/>
                <w:numId w:val="15"/>
              </w:numPr>
              <w:autoSpaceDE w:val="0"/>
              <w:autoSpaceDN w:val="0"/>
              <w:adjustRightInd w:val="0"/>
              <w:jc w:val="both"/>
              <w:rPr>
                <w:bCs/>
              </w:rPr>
            </w:pPr>
            <w:r w:rsidRPr="0036044B">
              <w:rPr>
                <w:bCs/>
              </w:rPr>
              <w:t>Fondurile externe nerambursabile (PNRR) vor fi utilizate cu prioritate la plata cererilor de transfer pana la epuizarea acestora pentru proiectele derulate in cadrul Componentei 4 Transport sustenabil in cazul coordonatorului de reforma Ministerul Transporturilor si Infrastructurii</w:t>
            </w:r>
            <w:r w:rsidR="008022C0" w:rsidRPr="0036044B">
              <w:rPr>
                <w:bCs/>
              </w:rPr>
              <w:t>.</w:t>
            </w:r>
          </w:p>
          <w:p w14:paraId="35CF50AB" w14:textId="6D568610" w:rsidR="008022C0" w:rsidRPr="0036044B" w:rsidRDefault="008022C0" w:rsidP="0036044B">
            <w:pPr>
              <w:widowControl w:val="0"/>
              <w:autoSpaceDE w:val="0"/>
              <w:autoSpaceDN w:val="0"/>
              <w:adjustRightInd w:val="0"/>
              <w:jc w:val="both"/>
              <w:rPr>
                <w:bCs/>
              </w:rPr>
            </w:pPr>
          </w:p>
          <w:p w14:paraId="14B294CB" w14:textId="662A4917" w:rsidR="008022C0" w:rsidRPr="0036044B" w:rsidRDefault="008022C0" w:rsidP="0036044B">
            <w:pPr>
              <w:jc w:val="both"/>
              <w:rPr>
                <w:rFonts w:eastAsia="Trebuchet MS"/>
                <w:bCs/>
              </w:rPr>
            </w:pPr>
            <w:r w:rsidRPr="0036044B">
              <w:rPr>
                <w:bCs/>
              </w:rPr>
              <w:t xml:space="preserve">Prin prezentul proiect de act normativ se propune modificarea </w:t>
            </w:r>
            <w:r w:rsidR="00392CF0" w:rsidRPr="0036044B">
              <w:rPr>
                <w:bCs/>
              </w:rPr>
              <w:t xml:space="preserve">și completarea </w:t>
            </w:r>
            <w:r w:rsidRPr="0036044B">
              <w:rPr>
                <w:rFonts w:eastAsia="Trebuchet MS"/>
                <w:bCs/>
              </w:rPr>
              <w:t xml:space="preserve">Ordonanței de urgență a Guvernului nr. 155/2020 </w:t>
            </w:r>
            <w:bookmarkStart w:id="0" w:name="_Hlk109054029"/>
            <w:r w:rsidRPr="0036044B">
              <w:rPr>
                <w:rFonts w:eastAsia="Trebuchet MS"/>
                <w:bCs/>
              </w:rPr>
              <w:t xml:space="preserve">privind unele măsuri pentru elaborarea Planului </w:t>
            </w:r>
            <w:r w:rsidR="00AC4CCD" w:rsidRPr="0036044B">
              <w:rPr>
                <w:rFonts w:eastAsia="Trebuchet MS"/>
                <w:bCs/>
              </w:rPr>
              <w:t xml:space="preserve">național </w:t>
            </w:r>
            <w:r w:rsidRPr="0036044B">
              <w:rPr>
                <w:rFonts w:eastAsia="Trebuchet MS"/>
                <w:bCs/>
              </w:rPr>
              <w:t xml:space="preserve">de </w:t>
            </w:r>
            <w:proofErr w:type="spellStart"/>
            <w:r w:rsidR="00AC4CCD" w:rsidRPr="0036044B">
              <w:rPr>
                <w:rFonts w:eastAsia="Trebuchet MS"/>
                <w:bCs/>
              </w:rPr>
              <w:t>nedresare</w:t>
            </w:r>
            <w:proofErr w:type="spellEnd"/>
            <w:r w:rsidR="00AC4CCD" w:rsidRPr="0036044B">
              <w:rPr>
                <w:rFonts w:eastAsia="Trebuchet MS"/>
                <w:bCs/>
              </w:rPr>
              <w:t xml:space="preserve"> </w:t>
            </w:r>
            <w:r w:rsidRPr="0036044B">
              <w:rPr>
                <w:rFonts w:eastAsia="Trebuchet MS"/>
                <w:bCs/>
              </w:rPr>
              <w:t xml:space="preserve">și </w:t>
            </w:r>
            <w:r w:rsidR="00AC4CCD" w:rsidRPr="0036044B">
              <w:rPr>
                <w:rFonts w:eastAsia="Trebuchet MS"/>
                <w:bCs/>
              </w:rPr>
              <w:t xml:space="preserve">reziliență </w:t>
            </w:r>
            <w:r w:rsidRPr="0036044B">
              <w:rPr>
                <w:rFonts w:eastAsia="Trebuchet MS"/>
                <w:bCs/>
              </w:rPr>
              <w:t>necesar României pentru accesarea de fonduri externe rambursabile și nerambursabile în cadrul Mecanismului de Redresare și Reziliență</w:t>
            </w:r>
            <w:bookmarkEnd w:id="0"/>
            <w:r w:rsidRPr="0036044B">
              <w:rPr>
                <w:rFonts w:eastAsia="Trebuchet MS"/>
                <w:bCs/>
              </w:rPr>
              <w:t xml:space="preserve">, publicată în Monitorul Oficial al României, Partea I, nr. 632 din 17 iulie 2020, </w:t>
            </w:r>
            <w:bookmarkStart w:id="1" w:name="_Hlk109029994"/>
            <w:bookmarkStart w:id="2" w:name="_Hlk109054157"/>
            <w:r w:rsidRPr="0036044B">
              <w:rPr>
                <w:rFonts w:eastAsia="Trebuchet MS"/>
                <w:bCs/>
              </w:rPr>
              <w:t>cu modificările și completările ulterioare, aprobată prin Legea nr. 230/2021, cu modificările și completările ulterioare</w:t>
            </w:r>
            <w:bookmarkEnd w:id="1"/>
            <w:r w:rsidRPr="0036044B">
              <w:rPr>
                <w:rFonts w:eastAsia="Trebuchet MS"/>
                <w:bCs/>
              </w:rPr>
              <w:t>,</w:t>
            </w:r>
            <w:bookmarkEnd w:id="2"/>
            <w:r w:rsidRPr="0036044B">
              <w:rPr>
                <w:rFonts w:eastAsia="Trebuchet MS"/>
                <w:bCs/>
              </w:rPr>
              <w:t xml:space="preserve"> în contextul mandatării MIPE pentru a desfășura procedurile cu Comisia Europeană în vederea reaprobării PNRR, ajustării jaloanelor și țintelor, introducerii capitolului de </w:t>
            </w:r>
            <w:proofErr w:type="spellStart"/>
            <w:r w:rsidRPr="0036044B">
              <w:rPr>
                <w:rFonts w:eastAsia="Trebuchet MS"/>
                <w:bCs/>
              </w:rPr>
              <w:t>Repowereu</w:t>
            </w:r>
            <w:proofErr w:type="spellEnd"/>
            <w:r w:rsidRPr="0036044B">
              <w:rPr>
                <w:rFonts w:eastAsia="Trebuchet MS"/>
                <w:bCs/>
              </w:rPr>
              <w:t xml:space="preserve">, reducerii valorii grantului și restructurarea </w:t>
            </w:r>
            <w:proofErr w:type="spellStart"/>
            <w:r w:rsidRPr="0036044B">
              <w:rPr>
                <w:rFonts w:eastAsia="Trebuchet MS"/>
                <w:bCs/>
              </w:rPr>
              <w:t>imprumutului</w:t>
            </w:r>
            <w:proofErr w:type="spellEnd"/>
            <w:r w:rsidRPr="0036044B">
              <w:rPr>
                <w:rFonts w:eastAsia="Trebuchet MS"/>
                <w:bCs/>
              </w:rPr>
              <w:t xml:space="preserve"> și mandatarea Ministerului Finanțelor pentru a desfășura procedurile de renegociere la nivelul UE</w:t>
            </w:r>
            <w:r w:rsidR="00392CF0" w:rsidRPr="0036044B">
              <w:rPr>
                <w:rFonts w:eastAsia="Trebuchet MS"/>
                <w:bCs/>
              </w:rPr>
              <w:t>.</w:t>
            </w:r>
          </w:p>
          <w:p w14:paraId="0B03C0BD" w14:textId="2A05C9A9" w:rsidR="00392CF0" w:rsidRPr="0036044B" w:rsidRDefault="00392CF0" w:rsidP="0036044B">
            <w:pPr>
              <w:jc w:val="both"/>
              <w:rPr>
                <w:rFonts w:eastAsia="Trebuchet MS"/>
                <w:bCs/>
              </w:rPr>
            </w:pPr>
          </w:p>
          <w:p w14:paraId="3B16184F" w14:textId="5926984A" w:rsidR="00392CF0" w:rsidRPr="0036044B" w:rsidRDefault="00392CF0" w:rsidP="0036044B">
            <w:pPr>
              <w:jc w:val="both"/>
              <w:rPr>
                <w:rFonts w:eastAsia="Trebuchet MS"/>
              </w:rPr>
            </w:pPr>
            <w:r w:rsidRPr="0036044B">
              <w:rPr>
                <w:bCs/>
              </w:rPr>
              <w:t xml:space="preserve">Prin prezentul proiect de act normativ se propune modificarea și completarea </w:t>
            </w:r>
            <w:bookmarkStart w:id="3" w:name="_Hlk109035923"/>
            <w:bookmarkStart w:id="4" w:name="_Hlk109050837"/>
            <w:r w:rsidRPr="0036044B">
              <w:rPr>
                <w:bCs/>
              </w:rPr>
              <w:t>Ordonanța de urgență a Guvernului nr. 70/2022 privind prevenirea, verificarea și constatarea neregulilor/dublei finanțări, a neregulilor grave apărute în obținerea și utilizarea fondurilor externe nerambursabile/rambursabile alocate României prin Mecanismul de redresare și reziliență și/sau a fondurilor publice naționale aferente acestora și recuperarea creanțelor rezultate</w:t>
            </w:r>
            <w:bookmarkEnd w:id="3"/>
            <w:r w:rsidRPr="0036044B">
              <w:rPr>
                <w:bCs/>
              </w:rPr>
              <w:t xml:space="preserve">, </w:t>
            </w:r>
            <w:r w:rsidRPr="0036044B">
              <w:rPr>
                <w:bCs/>
                <w:iCs/>
              </w:rPr>
              <w:t>publicată în Monitorul Oficial al României, Partea I, nr. 526 din 27 mai 2022</w:t>
            </w:r>
            <w:bookmarkEnd w:id="4"/>
            <w:r w:rsidRPr="0036044B">
              <w:rPr>
                <w:bCs/>
                <w:iCs/>
              </w:rPr>
              <w:t>, în privința</w:t>
            </w:r>
            <w:r w:rsidR="0078387C" w:rsidRPr="0036044B">
              <w:rPr>
                <w:bCs/>
                <w:iCs/>
              </w:rPr>
              <w:t xml:space="preserve"> </w:t>
            </w:r>
            <w:proofErr w:type="spellStart"/>
            <w:r w:rsidR="0078387C" w:rsidRPr="0036044B">
              <w:rPr>
                <w:bCs/>
                <w:iCs/>
              </w:rPr>
              <w:t>creeări</w:t>
            </w:r>
            <w:proofErr w:type="spellEnd"/>
            <w:r w:rsidR="0078387C" w:rsidRPr="0036044B">
              <w:rPr>
                <w:bCs/>
                <w:iCs/>
              </w:rPr>
              <w:t xml:space="preserve"> cadrului legal, prin </w:t>
            </w:r>
            <w:proofErr w:type="spellStart"/>
            <w:r w:rsidR="0078387C" w:rsidRPr="0036044B">
              <w:t>prin</w:t>
            </w:r>
            <w:proofErr w:type="spellEnd"/>
            <w:r w:rsidR="0078387C" w:rsidRPr="0036044B">
              <w:t xml:space="preserve"> </w:t>
            </w:r>
            <w:bookmarkStart w:id="5" w:name="_Hlk109035831"/>
            <w:r w:rsidR="0078387C" w:rsidRPr="0036044B">
              <w:t>ordin al ministrului investițiilor și proiectelor europene</w:t>
            </w:r>
            <w:bookmarkEnd w:id="5"/>
            <w:r w:rsidR="0078387C" w:rsidRPr="0036044B">
              <w:t xml:space="preserve"> pentru aprobarea procedurii de achiziție aplicabilă beneficiarilor privați pentru atribuirea contractelor de furnizare de produse, prestare de servicii, execuție de lucrări finanțate din fondurile externe nerambursabile și rambursabile aferente Mecanismului de Redresare și Reziliență, alocate prin Planul Național de Redresare și Reziliență.</w:t>
            </w:r>
          </w:p>
          <w:p w14:paraId="2202F3A2" w14:textId="77777777" w:rsidR="008022C0" w:rsidRPr="0036044B" w:rsidRDefault="008022C0" w:rsidP="0036044B">
            <w:pPr>
              <w:jc w:val="both"/>
              <w:rPr>
                <w:rFonts w:eastAsia="Trebuchet MS"/>
              </w:rPr>
            </w:pPr>
          </w:p>
          <w:p w14:paraId="1F20A98A" w14:textId="0DE2789A" w:rsidR="00CD6AB9" w:rsidRPr="0036044B" w:rsidRDefault="00CD6AB9" w:rsidP="0036044B">
            <w:pPr>
              <w:jc w:val="both"/>
            </w:pPr>
            <w:r w:rsidRPr="0036044B">
              <w:t xml:space="preserve">De asemenea, în termen de 30 de zile de la data intrării în vigoare a prezentei </w:t>
            </w:r>
            <w:proofErr w:type="spellStart"/>
            <w:r w:rsidRPr="0036044B">
              <w:t>ordonanţe</w:t>
            </w:r>
            <w:proofErr w:type="spellEnd"/>
            <w:r w:rsidRPr="0036044B">
              <w:t xml:space="preserve">, se vor modifica și completa Normele metodologice de aplicare a prevederilor </w:t>
            </w:r>
            <w:proofErr w:type="spellStart"/>
            <w:r w:rsidRPr="0036044B">
              <w:t>Ordonanţei</w:t>
            </w:r>
            <w:proofErr w:type="spellEnd"/>
            <w:r w:rsidRPr="0036044B">
              <w:t xml:space="preserve"> de </w:t>
            </w:r>
            <w:proofErr w:type="spellStart"/>
            <w:r w:rsidRPr="0036044B">
              <w:t>urgenţă</w:t>
            </w:r>
            <w:proofErr w:type="spellEnd"/>
            <w:r w:rsidRPr="0036044B">
              <w:t xml:space="preserve"> a Guvernului nr. 124/2021 privind stabilirea cadrului </w:t>
            </w:r>
            <w:proofErr w:type="spellStart"/>
            <w:r w:rsidRPr="0036044B">
              <w:t>instituţional</w:t>
            </w:r>
            <w:proofErr w:type="spellEnd"/>
            <w:r w:rsidRPr="0036044B">
              <w:t xml:space="preserve"> </w:t>
            </w:r>
            <w:proofErr w:type="spellStart"/>
            <w:r w:rsidRPr="0036044B">
              <w:t>şi</w:t>
            </w:r>
            <w:proofErr w:type="spellEnd"/>
            <w:r w:rsidRPr="0036044B">
              <w:t xml:space="preserve"> financiar pentru gestionarea fondurilor europene alocate României prin Mecanismul de redresare </w:t>
            </w:r>
            <w:proofErr w:type="spellStart"/>
            <w:r w:rsidRPr="0036044B">
              <w:t>şi</w:t>
            </w:r>
            <w:proofErr w:type="spellEnd"/>
            <w:r w:rsidRPr="0036044B">
              <w:t xml:space="preserve"> </w:t>
            </w:r>
            <w:proofErr w:type="spellStart"/>
            <w:r w:rsidRPr="0036044B">
              <w:t>rezilienţă</w:t>
            </w:r>
            <w:proofErr w:type="spellEnd"/>
            <w:r w:rsidRPr="0036044B">
              <w:t xml:space="preserve">, precum </w:t>
            </w:r>
            <w:proofErr w:type="spellStart"/>
            <w:r w:rsidRPr="0036044B">
              <w:t>şi</w:t>
            </w:r>
            <w:proofErr w:type="spellEnd"/>
            <w:r w:rsidRPr="0036044B">
              <w:t xml:space="preserve"> pentru modificarea </w:t>
            </w:r>
            <w:proofErr w:type="spellStart"/>
            <w:r w:rsidRPr="0036044B">
              <w:t>şi</w:t>
            </w:r>
            <w:proofErr w:type="spellEnd"/>
            <w:r w:rsidRPr="0036044B">
              <w:t xml:space="preserve"> completarea </w:t>
            </w:r>
            <w:proofErr w:type="spellStart"/>
            <w:r w:rsidRPr="0036044B">
              <w:t>Ordonanţei</w:t>
            </w:r>
            <w:proofErr w:type="spellEnd"/>
            <w:r w:rsidRPr="0036044B">
              <w:t xml:space="preserve"> de </w:t>
            </w:r>
            <w:proofErr w:type="spellStart"/>
            <w:r w:rsidRPr="0036044B">
              <w:t>urgenţă</w:t>
            </w:r>
            <w:proofErr w:type="spellEnd"/>
            <w:r w:rsidRPr="0036044B">
              <w:t xml:space="preserve"> a Guvernului nr. 155/2020 privind unele măsuri pentru elaborarea Planului </w:t>
            </w:r>
            <w:proofErr w:type="spellStart"/>
            <w:r w:rsidRPr="0036044B">
              <w:t>naţional</w:t>
            </w:r>
            <w:proofErr w:type="spellEnd"/>
            <w:r w:rsidRPr="0036044B">
              <w:t xml:space="preserve"> de redresare </w:t>
            </w:r>
            <w:proofErr w:type="spellStart"/>
            <w:r w:rsidRPr="0036044B">
              <w:t>şi</w:t>
            </w:r>
            <w:proofErr w:type="spellEnd"/>
            <w:r w:rsidRPr="0036044B">
              <w:t xml:space="preserve"> </w:t>
            </w:r>
            <w:proofErr w:type="spellStart"/>
            <w:r w:rsidRPr="0036044B">
              <w:t>rezilienţă</w:t>
            </w:r>
            <w:proofErr w:type="spellEnd"/>
            <w:r w:rsidRPr="0036044B">
              <w:t xml:space="preserve"> necesar României pentru accesarea de fonduri externe rambursabile </w:t>
            </w:r>
            <w:proofErr w:type="spellStart"/>
            <w:r w:rsidRPr="0036044B">
              <w:t>şi</w:t>
            </w:r>
            <w:proofErr w:type="spellEnd"/>
            <w:r w:rsidRPr="0036044B">
              <w:t xml:space="preserve"> nerambursabile în cadrul Mecanismului de redresare </w:t>
            </w:r>
            <w:proofErr w:type="spellStart"/>
            <w:r w:rsidRPr="0036044B">
              <w:t>şi</w:t>
            </w:r>
            <w:proofErr w:type="spellEnd"/>
            <w:r w:rsidRPr="0036044B">
              <w:t xml:space="preserve"> </w:t>
            </w:r>
            <w:proofErr w:type="spellStart"/>
            <w:r w:rsidRPr="0036044B">
              <w:t>rezilienţă</w:t>
            </w:r>
            <w:proofErr w:type="spellEnd"/>
            <w:r w:rsidRPr="0036044B">
              <w:t>, aprobate prin Hotărârea Guvernului nr. 209/2022.</w:t>
            </w:r>
          </w:p>
          <w:p w14:paraId="2B61FAC4" w14:textId="244F63C0" w:rsidR="008022C0" w:rsidRPr="0036044B" w:rsidRDefault="008022C0" w:rsidP="0036044B">
            <w:pPr>
              <w:widowControl w:val="0"/>
              <w:autoSpaceDE w:val="0"/>
              <w:autoSpaceDN w:val="0"/>
              <w:adjustRightInd w:val="0"/>
              <w:jc w:val="both"/>
              <w:rPr>
                <w:bCs/>
              </w:rPr>
            </w:pPr>
          </w:p>
          <w:p w14:paraId="45862F79" w14:textId="4F4FE63B" w:rsidR="00223491" w:rsidRPr="0036044B" w:rsidRDefault="00223491" w:rsidP="0036044B">
            <w:pPr>
              <w:autoSpaceDE w:val="0"/>
              <w:autoSpaceDN w:val="0"/>
              <w:adjustRightInd w:val="0"/>
              <w:spacing w:after="120"/>
              <w:jc w:val="both"/>
              <w:rPr>
                <w:bCs/>
                <w:lang w:eastAsia="en-GB"/>
              </w:rPr>
            </w:pPr>
            <w:r w:rsidRPr="0036044B">
              <w:rPr>
                <w:b/>
                <w:bCs/>
                <w:lang w:eastAsia="en-GB"/>
              </w:rPr>
              <w:lastRenderedPageBreak/>
              <w:t>2.4 Alte informații</w:t>
            </w:r>
            <w:r w:rsidR="0064777F" w:rsidRPr="0036044B">
              <w:rPr>
                <w:b/>
                <w:bCs/>
                <w:lang w:eastAsia="en-GB"/>
              </w:rPr>
              <w:t xml:space="preserve"> *)</w:t>
            </w:r>
          </w:p>
        </w:tc>
      </w:tr>
    </w:tbl>
    <w:p w14:paraId="2DB4CCB7" w14:textId="77777777" w:rsidR="003864F6" w:rsidRPr="0036044B" w:rsidRDefault="00DB715E" w:rsidP="0036044B">
      <w:pPr>
        <w:spacing w:after="120"/>
        <w:rPr>
          <w:b/>
        </w:rPr>
      </w:pPr>
      <w:r w:rsidRPr="0036044B">
        <w:rPr>
          <w:b/>
        </w:rPr>
        <w:lastRenderedPageBreak/>
        <w:t xml:space="preserve">   </w:t>
      </w:r>
      <w:r w:rsidR="007C16BF" w:rsidRPr="0036044B">
        <w:rPr>
          <w:b/>
        </w:rPr>
        <w:t xml:space="preserve">   </w:t>
      </w:r>
    </w:p>
    <w:p w14:paraId="4794020D" w14:textId="141F7D6C" w:rsidR="00223491" w:rsidRPr="0036044B" w:rsidRDefault="003864F6" w:rsidP="0036044B">
      <w:pPr>
        <w:spacing w:after="120"/>
        <w:ind w:firstLine="720"/>
        <w:rPr>
          <w:b/>
        </w:rPr>
      </w:pPr>
      <w:r w:rsidRPr="0036044B">
        <w:rPr>
          <w:b/>
        </w:rPr>
        <w:t>Secțiunea</w:t>
      </w:r>
      <w:r w:rsidR="00670C79" w:rsidRPr="0036044B">
        <w:rPr>
          <w:b/>
        </w:rPr>
        <w:t xml:space="preserve"> a 3-a </w:t>
      </w:r>
    </w:p>
    <w:p w14:paraId="4E4A7A8E" w14:textId="485C7CAC" w:rsidR="00670C79" w:rsidRPr="0036044B" w:rsidRDefault="00670C79" w:rsidP="0036044B">
      <w:pPr>
        <w:spacing w:after="120"/>
        <w:ind w:firstLine="720"/>
        <w:rPr>
          <w:b/>
        </w:rPr>
      </w:pPr>
      <w:r w:rsidRPr="0036044B">
        <w:rPr>
          <w:b/>
        </w:rPr>
        <w:t xml:space="preserve">Impactul socioeconomic </w:t>
      </w:r>
      <w:r w:rsidR="0064777F" w:rsidRPr="0036044B">
        <w:rPr>
          <w:b/>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2B2AD7" w:rsidRPr="0036044B" w14:paraId="4F7B7B5A" w14:textId="77777777" w:rsidTr="007C07B3">
        <w:tc>
          <w:tcPr>
            <w:tcW w:w="10533" w:type="dxa"/>
          </w:tcPr>
          <w:p w14:paraId="612A275C" w14:textId="77777777" w:rsidR="00F72189" w:rsidRPr="0036044B" w:rsidRDefault="00F72189" w:rsidP="0036044B">
            <w:pPr>
              <w:spacing w:after="120"/>
              <w:jc w:val="both"/>
              <w:rPr>
                <w:b/>
              </w:rPr>
            </w:pPr>
            <w:r w:rsidRPr="0036044B">
              <w:rPr>
                <w:b/>
              </w:rPr>
              <w:t>3.1 Descrierea generală a beneficiilor și costurilor estimate ca urmare a intrării în vigoare a actului normativ</w:t>
            </w:r>
          </w:p>
          <w:p w14:paraId="0675353F" w14:textId="77777777" w:rsidR="00F72189" w:rsidRPr="0036044B" w:rsidRDefault="00F72189" w:rsidP="0036044B">
            <w:pPr>
              <w:spacing w:after="120"/>
              <w:jc w:val="both"/>
              <w:rPr>
                <w:b/>
              </w:rPr>
            </w:pPr>
            <w:r w:rsidRPr="0036044B">
              <w:rPr>
                <w:b/>
              </w:rPr>
              <w:t>3.2 Impactul social</w:t>
            </w:r>
          </w:p>
          <w:p w14:paraId="06706991" w14:textId="77777777" w:rsidR="00FB45DC" w:rsidRPr="0036044B" w:rsidRDefault="00FB45DC" w:rsidP="0036044B">
            <w:pPr>
              <w:spacing w:after="120"/>
              <w:jc w:val="both"/>
              <w:rPr>
                <w:bCs/>
                <w:lang w:val="en-US"/>
              </w:rPr>
            </w:pPr>
            <w:r w:rsidRPr="0036044B">
              <w:rPr>
                <w:bCs/>
                <w:lang w:val="en-US"/>
              </w:rPr>
              <w:t xml:space="preserve">    a) </w:t>
            </w:r>
            <w:proofErr w:type="spellStart"/>
            <w:r w:rsidRPr="0036044B">
              <w:rPr>
                <w:bCs/>
                <w:lang w:val="en-US"/>
              </w:rPr>
              <w:t>impactul</w:t>
            </w:r>
            <w:proofErr w:type="spellEnd"/>
            <w:r w:rsidRPr="0036044B">
              <w:rPr>
                <w:bCs/>
                <w:lang w:val="en-US"/>
              </w:rPr>
              <w:t xml:space="preserve"> </w:t>
            </w:r>
            <w:proofErr w:type="spellStart"/>
            <w:r w:rsidRPr="0036044B">
              <w:rPr>
                <w:bCs/>
                <w:lang w:val="en-US"/>
              </w:rPr>
              <w:t>asupra</w:t>
            </w:r>
            <w:proofErr w:type="spellEnd"/>
            <w:r w:rsidRPr="0036044B">
              <w:rPr>
                <w:bCs/>
                <w:lang w:val="en-US"/>
              </w:rPr>
              <w:t xml:space="preserve"> </w:t>
            </w:r>
            <w:proofErr w:type="spellStart"/>
            <w:r w:rsidRPr="0036044B">
              <w:rPr>
                <w:bCs/>
                <w:lang w:val="en-US"/>
              </w:rPr>
              <w:t>grupurilor</w:t>
            </w:r>
            <w:proofErr w:type="spellEnd"/>
            <w:r w:rsidRPr="0036044B">
              <w:rPr>
                <w:bCs/>
                <w:lang w:val="en-US"/>
              </w:rPr>
              <w:t xml:space="preserve"> </w:t>
            </w:r>
            <w:proofErr w:type="spellStart"/>
            <w:r w:rsidRPr="0036044B">
              <w:rPr>
                <w:bCs/>
                <w:lang w:val="en-US"/>
              </w:rPr>
              <w:t>vulnerabile</w:t>
            </w:r>
            <w:proofErr w:type="spellEnd"/>
            <w:r w:rsidRPr="0036044B">
              <w:rPr>
                <w:bCs/>
                <w:lang w:val="en-US"/>
              </w:rPr>
              <w:t xml:space="preserve">, </w:t>
            </w:r>
            <w:proofErr w:type="spellStart"/>
            <w:r w:rsidRPr="0036044B">
              <w:rPr>
                <w:bCs/>
                <w:lang w:val="en-US"/>
              </w:rPr>
              <w:t>aşa</w:t>
            </w:r>
            <w:proofErr w:type="spellEnd"/>
            <w:r w:rsidRPr="0036044B">
              <w:rPr>
                <w:bCs/>
                <w:lang w:val="en-US"/>
              </w:rPr>
              <w:t xml:space="preserve"> cum sunt definite de art. 6 lit. p) din </w:t>
            </w:r>
            <w:proofErr w:type="spellStart"/>
            <w:r w:rsidRPr="0036044B">
              <w:rPr>
                <w:bCs/>
                <w:lang w:val="en-US"/>
              </w:rPr>
              <w:t>Legea</w:t>
            </w:r>
            <w:proofErr w:type="spellEnd"/>
            <w:r w:rsidRPr="0036044B">
              <w:rPr>
                <w:bCs/>
                <w:lang w:val="en-US"/>
              </w:rPr>
              <w:t xml:space="preserve"> </w:t>
            </w:r>
            <w:proofErr w:type="spellStart"/>
            <w:r w:rsidRPr="0036044B">
              <w:rPr>
                <w:bCs/>
                <w:lang w:val="en-US"/>
              </w:rPr>
              <w:t>asistenţei</w:t>
            </w:r>
            <w:proofErr w:type="spellEnd"/>
            <w:r w:rsidRPr="0036044B">
              <w:rPr>
                <w:bCs/>
                <w:lang w:val="en-US"/>
              </w:rPr>
              <w:t xml:space="preserve"> </w:t>
            </w:r>
            <w:proofErr w:type="spellStart"/>
            <w:r w:rsidRPr="0036044B">
              <w:rPr>
                <w:bCs/>
                <w:lang w:val="en-US"/>
              </w:rPr>
              <w:t>sociale</w:t>
            </w:r>
            <w:proofErr w:type="spellEnd"/>
            <w:r w:rsidRPr="0036044B">
              <w:rPr>
                <w:bCs/>
                <w:lang w:val="en-US"/>
              </w:rPr>
              <w:t xml:space="preserve"> nr. 292/2011, cu </w:t>
            </w:r>
            <w:proofErr w:type="spellStart"/>
            <w:r w:rsidRPr="0036044B">
              <w:rPr>
                <w:bCs/>
                <w:lang w:val="en-US"/>
              </w:rPr>
              <w:t>modificările</w:t>
            </w:r>
            <w:proofErr w:type="spellEnd"/>
            <w:r w:rsidRPr="0036044B">
              <w:rPr>
                <w:bCs/>
                <w:lang w:val="en-US"/>
              </w:rPr>
              <w:t xml:space="preserve"> </w:t>
            </w:r>
            <w:proofErr w:type="spellStart"/>
            <w:r w:rsidRPr="0036044B">
              <w:rPr>
                <w:bCs/>
                <w:lang w:val="en-US"/>
              </w:rPr>
              <w:t>şi</w:t>
            </w:r>
            <w:proofErr w:type="spellEnd"/>
            <w:r w:rsidRPr="0036044B">
              <w:rPr>
                <w:bCs/>
                <w:lang w:val="en-US"/>
              </w:rPr>
              <w:t xml:space="preserve"> </w:t>
            </w:r>
            <w:proofErr w:type="spellStart"/>
            <w:r w:rsidRPr="0036044B">
              <w:rPr>
                <w:bCs/>
                <w:lang w:val="en-US"/>
              </w:rPr>
              <w:t>completările</w:t>
            </w:r>
            <w:proofErr w:type="spellEnd"/>
            <w:r w:rsidRPr="0036044B">
              <w:rPr>
                <w:bCs/>
                <w:lang w:val="en-US"/>
              </w:rPr>
              <w:t xml:space="preserve"> </w:t>
            </w:r>
            <w:proofErr w:type="spellStart"/>
            <w:r w:rsidRPr="0036044B">
              <w:rPr>
                <w:bCs/>
                <w:lang w:val="en-US"/>
              </w:rPr>
              <w:t>ulterioare</w:t>
            </w:r>
            <w:proofErr w:type="spellEnd"/>
            <w:r w:rsidRPr="0036044B">
              <w:rPr>
                <w:bCs/>
                <w:lang w:val="en-US"/>
              </w:rPr>
              <w:t xml:space="preserve">, precum </w:t>
            </w:r>
            <w:proofErr w:type="spellStart"/>
            <w:r w:rsidRPr="0036044B">
              <w:rPr>
                <w:bCs/>
                <w:lang w:val="en-US"/>
              </w:rPr>
              <w:t>şi</w:t>
            </w:r>
            <w:proofErr w:type="spellEnd"/>
            <w:r w:rsidRPr="0036044B">
              <w:rPr>
                <w:bCs/>
                <w:lang w:val="en-US"/>
              </w:rPr>
              <w:t xml:space="preserve"> </w:t>
            </w:r>
            <w:proofErr w:type="spellStart"/>
            <w:r w:rsidRPr="0036044B">
              <w:rPr>
                <w:bCs/>
                <w:lang w:val="en-US"/>
              </w:rPr>
              <w:t>asupra</w:t>
            </w:r>
            <w:proofErr w:type="spellEnd"/>
            <w:r w:rsidRPr="0036044B">
              <w:rPr>
                <w:bCs/>
                <w:lang w:val="en-US"/>
              </w:rPr>
              <w:t xml:space="preserve"> </w:t>
            </w:r>
            <w:proofErr w:type="spellStart"/>
            <w:r w:rsidRPr="0036044B">
              <w:rPr>
                <w:bCs/>
                <w:lang w:val="en-US"/>
              </w:rPr>
              <w:t>serviciilor</w:t>
            </w:r>
            <w:proofErr w:type="spellEnd"/>
            <w:r w:rsidRPr="0036044B">
              <w:rPr>
                <w:bCs/>
                <w:lang w:val="en-US"/>
              </w:rPr>
              <w:t xml:space="preserve"> </w:t>
            </w:r>
            <w:proofErr w:type="spellStart"/>
            <w:r w:rsidRPr="0036044B">
              <w:rPr>
                <w:bCs/>
                <w:lang w:val="en-US"/>
              </w:rPr>
              <w:t>sociale</w:t>
            </w:r>
            <w:proofErr w:type="spellEnd"/>
            <w:r w:rsidRPr="0036044B">
              <w:rPr>
                <w:bCs/>
                <w:lang w:val="en-US"/>
              </w:rPr>
              <w:t>;</w:t>
            </w:r>
          </w:p>
          <w:p w14:paraId="218EA104" w14:textId="77777777" w:rsidR="00FB45DC" w:rsidRPr="0036044B" w:rsidRDefault="00FB45DC" w:rsidP="0036044B">
            <w:pPr>
              <w:spacing w:after="120"/>
              <w:jc w:val="both"/>
              <w:rPr>
                <w:bCs/>
                <w:lang w:val="en-US"/>
              </w:rPr>
            </w:pPr>
            <w:r w:rsidRPr="0036044B">
              <w:rPr>
                <w:bCs/>
                <w:lang w:val="en-US"/>
              </w:rPr>
              <w:t xml:space="preserve">    b) </w:t>
            </w:r>
            <w:proofErr w:type="spellStart"/>
            <w:r w:rsidRPr="0036044B">
              <w:rPr>
                <w:bCs/>
                <w:lang w:val="en-US"/>
              </w:rPr>
              <w:t>impactul</w:t>
            </w:r>
            <w:proofErr w:type="spellEnd"/>
            <w:r w:rsidRPr="0036044B">
              <w:rPr>
                <w:bCs/>
                <w:lang w:val="en-US"/>
              </w:rPr>
              <w:t xml:space="preserve"> </w:t>
            </w:r>
            <w:proofErr w:type="spellStart"/>
            <w:r w:rsidRPr="0036044B">
              <w:rPr>
                <w:bCs/>
                <w:lang w:val="en-US"/>
              </w:rPr>
              <w:t>asupra</w:t>
            </w:r>
            <w:proofErr w:type="spellEnd"/>
            <w:r w:rsidRPr="0036044B">
              <w:rPr>
                <w:bCs/>
                <w:lang w:val="en-US"/>
              </w:rPr>
              <w:t xml:space="preserve"> </w:t>
            </w:r>
            <w:proofErr w:type="spellStart"/>
            <w:r w:rsidRPr="0036044B">
              <w:rPr>
                <w:bCs/>
                <w:lang w:val="en-US"/>
              </w:rPr>
              <w:t>veniturilor</w:t>
            </w:r>
            <w:proofErr w:type="spellEnd"/>
            <w:r w:rsidRPr="0036044B">
              <w:rPr>
                <w:bCs/>
                <w:lang w:val="en-US"/>
              </w:rPr>
              <w:t xml:space="preserve"> </w:t>
            </w:r>
            <w:proofErr w:type="spellStart"/>
            <w:r w:rsidRPr="0036044B">
              <w:rPr>
                <w:bCs/>
                <w:lang w:val="en-US"/>
              </w:rPr>
              <w:t>populaţiei</w:t>
            </w:r>
            <w:proofErr w:type="spellEnd"/>
            <w:r w:rsidRPr="0036044B">
              <w:rPr>
                <w:bCs/>
                <w:lang w:val="en-US"/>
              </w:rPr>
              <w:t xml:space="preserve">, </w:t>
            </w:r>
            <w:proofErr w:type="spellStart"/>
            <w:r w:rsidRPr="0036044B">
              <w:rPr>
                <w:bCs/>
                <w:lang w:val="en-US"/>
              </w:rPr>
              <w:t>ocupării</w:t>
            </w:r>
            <w:proofErr w:type="spellEnd"/>
            <w:r w:rsidRPr="0036044B">
              <w:rPr>
                <w:bCs/>
                <w:lang w:val="en-US"/>
              </w:rPr>
              <w:t xml:space="preserve"> </w:t>
            </w:r>
            <w:proofErr w:type="spellStart"/>
            <w:r w:rsidRPr="0036044B">
              <w:rPr>
                <w:bCs/>
                <w:lang w:val="en-US"/>
              </w:rPr>
              <w:t>forţei</w:t>
            </w:r>
            <w:proofErr w:type="spellEnd"/>
            <w:r w:rsidRPr="0036044B">
              <w:rPr>
                <w:bCs/>
                <w:lang w:val="en-US"/>
              </w:rPr>
              <w:t xml:space="preserve"> de </w:t>
            </w:r>
            <w:proofErr w:type="spellStart"/>
            <w:r w:rsidRPr="0036044B">
              <w:rPr>
                <w:bCs/>
                <w:lang w:val="en-US"/>
              </w:rPr>
              <w:t>muncă</w:t>
            </w:r>
            <w:proofErr w:type="spellEnd"/>
            <w:r w:rsidRPr="0036044B">
              <w:rPr>
                <w:bCs/>
                <w:lang w:val="en-US"/>
              </w:rPr>
              <w:t xml:space="preserve">, </w:t>
            </w:r>
            <w:proofErr w:type="spellStart"/>
            <w:r w:rsidRPr="0036044B">
              <w:rPr>
                <w:bCs/>
                <w:lang w:val="en-US"/>
              </w:rPr>
              <w:t>asupra</w:t>
            </w:r>
            <w:proofErr w:type="spellEnd"/>
            <w:r w:rsidRPr="0036044B">
              <w:rPr>
                <w:bCs/>
                <w:lang w:val="en-US"/>
              </w:rPr>
              <w:t xml:space="preserve"> </w:t>
            </w:r>
            <w:proofErr w:type="spellStart"/>
            <w:r w:rsidRPr="0036044B">
              <w:rPr>
                <w:bCs/>
                <w:lang w:val="en-US"/>
              </w:rPr>
              <w:t>condiţiilor</w:t>
            </w:r>
            <w:proofErr w:type="spellEnd"/>
            <w:r w:rsidRPr="0036044B">
              <w:rPr>
                <w:bCs/>
                <w:lang w:val="en-US"/>
              </w:rPr>
              <w:t xml:space="preserve"> </w:t>
            </w:r>
            <w:proofErr w:type="spellStart"/>
            <w:r w:rsidRPr="0036044B">
              <w:rPr>
                <w:bCs/>
                <w:lang w:val="en-US"/>
              </w:rPr>
              <w:t>şi</w:t>
            </w:r>
            <w:proofErr w:type="spellEnd"/>
            <w:r w:rsidRPr="0036044B">
              <w:rPr>
                <w:bCs/>
                <w:lang w:val="en-US"/>
              </w:rPr>
              <w:t xml:space="preserve"> </w:t>
            </w:r>
            <w:proofErr w:type="spellStart"/>
            <w:r w:rsidRPr="0036044B">
              <w:rPr>
                <w:bCs/>
                <w:lang w:val="en-US"/>
              </w:rPr>
              <w:t>standardelor</w:t>
            </w:r>
            <w:proofErr w:type="spellEnd"/>
            <w:r w:rsidRPr="0036044B">
              <w:rPr>
                <w:bCs/>
                <w:lang w:val="en-US"/>
              </w:rPr>
              <w:t xml:space="preserve"> la </w:t>
            </w:r>
            <w:proofErr w:type="spellStart"/>
            <w:r w:rsidRPr="0036044B">
              <w:rPr>
                <w:bCs/>
                <w:lang w:val="en-US"/>
              </w:rPr>
              <w:t>locul</w:t>
            </w:r>
            <w:proofErr w:type="spellEnd"/>
            <w:r w:rsidRPr="0036044B">
              <w:rPr>
                <w:bCs/>
                <w:lang w:val="en-US"/>
              </w:rPr>
              <w:t xml:space="preserve"> de </w:t>
            </w:r>
            <w:proofErr w:type="spellStart"/>
            <w:r w:rsidRPr="0036044B">
              <w:rPr>
                <w:bCs/>
                <w:lang w:val="en-US"/>
              </w:rPr>
              <w:t>muncă</w:t>
            </w:r>
            <w:proofErr w:type="spellEnd"/>
            <w:r w:rsidRPr="0036044B">
              <w:rPr>
                <w:bCs/>
                <w:lang w:val="en-US"/>
              </w:rPr>
              <w:t>;</w:t>
            </w:r>
          </w:p>
          <w:p w14:paraId="77C3D8E9" w14:textId="77777777" w:rsidR="00FB45DC" w:rsidRPr="0036044B" w:rsidRDefault="00FB45DC" w:rsidP="0036044B">
            <w:pPr>
              <w:spacing w:after="120"/>
              <w:jc w:val="both"/>
              <w:rPr>
                <w:bCs/>
                <w:lang w:val="en-US"/>
              </w:rPr>
            </w:pPr>
            <w:r w:rsidRPr="0036044B">
              <w:rPr>
                <w:bCs/>
                <w:lang w:val="en-US"/>
              </w:rPr>
              <w:t xml:space="preserve">    c) </w:t>
            </w:r>
            <w:proofErr w:type="spellStart"/>
            <w:r w:rsidRPr="0036044B">
              <w:rPr>
                <w:bCs/>
                <w:lang w:val="en-US"/>
              </w:rPr>
              <w:t>impactul</w:t>
            </w:r>
            <w:proofErr w:type="spellEnd"/>
            <w:r w:rsidRPr="0036044B">
              <w:rPr>
                <w:bCs/>
                <w:lang w:val="en-US"/>
              </w:rPr>
              <w:t xml:space="preserve"> </w:t>
            </w:r>
            <w:proofErr w:type="spellStart"/>
            <w:r w:rsidRPr="0036044B">
              <w:rPr>
                <w:bCs/>
                <w:lang w:val="en-US"/>
              </w:rPr>
              <w:t>asupra</w:t>
            </w:r>
            <w:proofErr w:type="spellEnd"/>
            <w:r w:rsidRPr="0036044B">
              <w:rPr>
                <w:bCs/>
                <w:lang w:val="en-US"/>
              </w:rPr>
              <w:t xml:space="preserve"> </w:t>
            </w:r>
            <w:proofErr w:type="spellStart"/>
            <w:r w:rsidRPr="0036044B">
              <w:rPr>
                <w:bCs/>
                <w:lang w:val="en-US"/>
              </w:rPr>
              <w:t>sănătăţii</w:t>
            </w:r>
            <w:proofErr w:type="spellEnd"/>
            <w:r w:rsidRPr="0036044B">
              <w:rPr>
                <w:bCs/>
                <w:lang w:val="en-US"/>
              </w:rPr>
              <w:t xml:space="preserve"> </w:t>
            </w:r>
            <w:proofErr w:type="spellStart"/>
            <w:r w:rsidRPr="0036044B">
              <w:rPr>
                <w:bCs/>
                <w:lang w:val="en-US"/>
              </w:rPr>
              <w:t>populaţiei</w:t>
            </w:r>
            <w:proofErr w:type="spellEnd"/>
            <w:r w:rsidRPr="0036044B">
              <w:rPr>
                <w:bCs/>
                <w:lang w:val="en-US"/>
              </w:rPr>
              <w:t xml:space="preserve">, </w:t>
            </w:r>
            <w:proofErr w:type="spellStart"/>
            <w:r w:rsidRPr="0036044B">
              <w:rPr>
                <w:bCs/>
                <w:lang w:val="en-US"/>
              </w:rPr>
              <w:t>siguranţei</w:t>
            </w:r>
            <w:proofErr w:type="spellEnd"/>
            <w:r w:rsidRPr="0036044B">
              <w:rPr>
                <w:bCs/>
                <w:lang w:val="en-US"/>
              </w:rPr>
              <w:t xml:space="preserve"> </w:t>
            </w:r>
            <w:proofErr w:type="spellStart"/>
            <w:r w:rsidRPr="0036044B">
              <w:rPr>
                <w:bCs/>
                <w:lang w:val="en-US"/>
              </w:rPr>
              <w:t>alimentare</w:t>
            </w:r>
            <w:proofErr w:type="spellEnd"/>
            <w:r w:rsidRPr="0036044B">
              <w:rPr>
                <w:bCs/>
                <w:lang w:val="en-US"/>
              </w:rPr>
              <w:t xml:space="preserve"> </w:t>
            </w:r>
            <w:proofErr w:type="spellStart"/>
            <w:r w:rsidRPr="0036044B">
              <w:rPr>
                <w:bCs/>
                <w:lang w:val="en-US"/>
              </w:rPr>
              <w:t>şi</w:t>
            </w:r>
            <w:proofErr w:type="spellEnd"/>
            <w:r w:rsidRPr="0036044B">
              <w:rPr>
                <w:bCs/>
                <w:lang w:val="en-US"/>
              </w:rPr>
              <w:t xml:space="preserve"> </w:t>
            </w:r>
            <w:proofErr w:type="spellStart"/>
            <w:r w:rsidRPr="0036044B">
              <w:rPr>
                <w:bCs/>
                <w:lang w:val="en-US"/>
              </w:rPr>
              <w:t>nutriţiei</w:t>
            </w:r>
            <w:proofErr w:type="spellEnd"/>
            <w:r w:rsidRPr="0036044B">
              <w:rPr>
                <w:bCs/>
                <w:lang w:val="en-US"/>
              </w:rPr>
              <w:t xml:space="preserve">, precum </w:t>
            </w:r>
            <w:proofErr w:type="spellStart"/>
            <w:r w:rsidRPr="0036044B">
              <w:rPr>
                <w:bCs/>
                <w:lang w:val="en-US"/>
              </w:rPr>
              <w:t>şi</w:t>
            </w:r>
            <w:proofErr w:type="spellEnd"/>
            <w:r w:rsidRPr="0036044B">
              <w:rPr>
                <w:bCs/>
                <w:lang w:val="en-US"/>
              </w:rPr>
              <w:t xml:space="preserve"> </w:t>
            </w:r>
            <w:proofErr w:type="spellStart"/>
            <w:r w:rsidRPr="0036044B">
              <w:rPr>
                <w:bCs/>
                <w:lang w:val="en-US"/>
              </w:rPr>
              <w:t>asupra</w:t>
            </w:r>
            <w:proofErr w:type="spellEnd"/>
            <w:r w:rsidRPr="0036044B">
              <w:rPr>
                <w:bCs/>
                <w:lang w:val="en-US"/>
              </w:rPr>
              <w:t xml:space="preserve"> </w:t>
            </w:r>
            <w:proofErr w:type="spellStart"/>
            <w:r w:rsidRPr="0036044B">
              <w:rPr>
                <w:bCs/>
                <w:lang w:val="en-US"/>
              </w:rPr>
              <w:t>sistemului</w:t>
            </w:r>
            <w:proofErr w:type="spellEnd"/>
            <w:r w:rsidRPr="0036044B">
              <w:rPr>
                <w:bCs/>
                <w:lang w:val="en-US"/>
              </w:rPr>
              <w:t xml:space="preserve"> de </w:t>
            </w:r>
            <w:proofErr w:type="spellStart"/>
            <w:r w:rsidRPr="0036044B">
              <w:rPr>
                <w:bCs/>
                <w:lang w:val="en-US"/>
              </w:rPr>
              <w:t>sănătate</w:t>
            </w:r>
            <w:proofErr w:type="spellEnd"/>
            <w:r w:rsidRPr="0036044B">
              <w:rPr>
                <w:bCs/>
                <w:lang w:val="en-US"/>
              </w:rPr>
              <w:t>;</w:t>
            </w:r>
          </w:p>
          <w:p w14:paraId="2F656745" w14:textId="77777777" w:rsidR="00FB45DC" w:rsidRPr="0036044B" w:rsidRDefault="00FB45DC" w:rsidP="0036044B">
            <w:pPr>
              <w:spacing w:after="120"/>
              <w:jc w:val="both"/>
              <w:rPr>
                <w:bCs/>
                <w:lang w:val="en-US"/>
              </w:rPr>
            </w:pPr>
            <w:r w:rsidRPr="0036044B">
              <w:rPr>
                <w:bCs/>
                <w:lang w:val="en-US"/>
              </w:rPr>
              <w:t xml:space="preserve">    d) </w:t>
            </w:r>
            <w:proofErr w:type="spellStart"/>
            <w:r w:rsidRPr="0036044B">
              <w:rPr>
                <w:bCs/>
                <w:lang w:val="en-US"/>
              </w:rPr>
              <w:t>impactul</w:t>
            </w:r>
            <w:proofErr w:type="spellEnd"/>
            <w:r w:rsidRPr="0036044B">
              <w:rPr>
                <w:bCs/>
                <w:lang w:val="en-US"/>
              </w:rPr>
              <w:t xml:space="preserve"> </w:t>
            </w:r>
            <w:proofErr w:type="spellStart"/>
            <w:r w:rsidRPr="0036044B">
              <w:rPr>
                <w:bCs/>
                <w:lang w:val="en-US"/>
              </w:rPr>
              <w:t>asupra</w:t>
            </w:r>
            <w:proofErr w:type="spellEnd"/>
            <w:r w:rsidRPr="0036044B">
              <w:rPr>
                <w:bCs/>
                <w:lang w:val="en-US"/>
              </w:rPr>
              <w:t xml:space="preserve"> </w:t>
            </w:r>
            <w:proofErr w:type="spellStart"/>
            <w:r w:rsidRPr="0036044B">
              <w:rPr>
                <w:bCs/>
                <w:lang w:val="en-US"/>
              </w:rPr>
              <w:t>siguranţei</w:t>
            </w:r>
            <w:proofErr w:type="spellEnd"/>
            <w:r w:rsidRPr="0036044B">
              <w:rPr>
                <w:bCs/>
                <w:lang w:val="en-US"/>
              </w:rPr>
              <w:t xml:space="preserve"> </w:t>
            </w:r>
            <w:proofErr w:type="spellStart"/>
            <w:r w:rsidRPr="0036044B">
              <w:rPr>
                <w:bCs/>
                <w:lang w:val="en-US"/>
              </w:rPr>
              <w:t>cetăţenilor</w:t>
            </w:r>
            <w:proofErr w:type="spellEnd"/>
            <w:r w:rsidRPr="0036044B">
              <w:rPr>
                <w:bCs/>
                <w:lang w:val="en-US"/>
              </w:rPr>
              <w:t>;</w:t>
            </w:r>
          </w:p>
          <w:p w14:paraId="60378906" w14:textId="77777777" w:rsidR="00FB45DC" w:rsidRPr="0036044B" w:rsidRDefault="00FB45DC" w:rsidP="0036044B">
            <w:pPr>
              <w:spacing w:after="120"/>
              <w:jc w:val="both"/>
              <w:rPr>
                <w:bCs/>
                <w:lang w:val="en-US"/>
              </w:rPr>
            </w:pPr>
            <w:r w:rsidRPr="0036044B">
              <w:rPr>
                <w:bCs/>
                <w:lang w:val="en-US"/>
              </w:rPr>
              <w:t xml:space="preserve">    e) </w:t>
            </w:r>
            <w:proofErr w:type="spellStart"/>
            <w:r w:rsidRPr="0036044B">
              <w:rPr>
                <w:bCs/>
                <w:lang w:val="en-US"/>
              </w:rPr>
              <w:t>impactul</w:t>
            </w:r>
            <w:proofErr w:type="spellEnd"/>
            <w:r w:rsidRPr="0036044B">
              <w:rPr>
                <w:bCs/>
                <w:lang w:val="en-US"/>
              </w:rPr>
              <w:t xml:space="preserve"> </w:t>
            </w:r>
            <w:proofErr w:type="spellStart"/>
            <w:r w:rsidRPr="0036044B">
              <w:rPr>
                <w:bCs/>
                <w:lang w:val="en-US"/>
              </w:rPr>
              <w:t>asupra</w:t>
            </w:r>
            <w:proofErr w:type="spellEnd"/>
            <w:r w:rsidRPr="0036044B">
              <w:rPr>
                <w:bCs/>
                <w:lang w:val="en-US"/>
              </w:rPr>
              <w:t xml:space="preserve"> </w:t>
            </w:r>
            <w:proofErr w:type="spellStart"/>
            <w:r w:rsidRPr="0036044B">
              <w:rPr>
                <w:bCs/>
                <w:lang w:val="en-US"/>
              </w:rPr>
              <w:t>educaţiei</w:t>
            </w:r>
            <w:proofErr w:type="spellEnd"/>
            <w:r w:rsidRPr="0036044B">
              <w:rPr>
                <w:bCs/>
                <w:lang w:val="en-US"/>
              </w:rPr>
              <w:t xml:space="preserve"> </w:t>
            </w:r>
            <w:proofErr w:type="spellStart"/>
            <w:r w:rsidRPr="0036044B">
              <w:rPr>
                <w:bCs/>
                <w:lang w:val="en-US"/>
              </w:rPr>
              <w:t>şi</w:t>
            </w:r>
            <w:proofErr w:type="spellEnd"/>
            <w:r w:rsidRPr="0036044B">
              <w:rPr>
                <w:bCs/>
                <w:lang w:val="en-US"/>
              </w:rPr>
              <w:t xml:space="preserve"> </w:t>
            </w:r>
            <w:proofErr w:type="spellStart"/>
            <w:r w:rsidRPr="0036044B">
              <w:rPr>
                <w:bCs/>
                <w:lang w:val="en-US"/>
              </w:rPr>
              <w:t>învăţării</w:t>
            </w:r>
            <w:proofErr w:type="spellEnd"/>
            <w:r w:rsidRPr="0036044B">
              <w:rPr>
                <w:bCs/>
                <w:lang w:val="en-US"/>
              </w:rPr>
              <w:t xml:space="preserve"> pe tot </w:t>
            </w:r>
            <w:proofErr w:type="spellStart"/>
            <w:r w:rsidRPr="0036044B">
              <w:rPr>
                <w:bCs/>
                <w:lang w:val="en-US"/>
              </w:rPr>
              <w:t>parcursul</w:t>
            </w:r>
            <w:proofErr w:type="spellEnd"/>
            <w:r w:rsidRPr="0036044B">
              <w:rPr>
                <w:bCs/>
                <w:lang w:val="en-US"/>
              </w:rPr>
              <w:t xml:space="preserve"> </w:t>
            </w:r>
            <w:proofErr w:type="spellStart"/>
            <w:r w:rsidRPr="0036044B">
              <w:rPr>
                <w:bCs/>
                <w:lang w:val="en-US"/>
              </w:rPr>
              <w:t>vieţii</w:t>
            </w:r>
            <w:proofErr w:type="spellEnd"/>
            <w:r w:rsidRPr="0036044B">
              <w:rPr>
                <w:bCs/>
                <w:lang w:val="en-US"/>
              </w:rPr>
              <w:t>;</w:t>
            </w:r>
          </w:p>
          <w:p w14:paraId="4D90858B" w14:textId="77777777" w:rsidR="00FB45DC" w:rsidRPr="0036044B" w:rsidRDefault="00FB45DC" w:rsidP="0036044B">
            <w:pPr>
              <w:spacing w:after="120"/>
              <w:jc w:val="both"/>
              <w:rPr>
                <w:bCs/>
                <w:lang w:val="en-US"/>
              </w:rPr>
            </w:pPr>
            <w:r w:rsidRPr="0036044B">
              <w:rPr>
                <w:bCs/>
                <w:lang w:val="en-US"/>
              </w:rPr>
              <w:t xml:space="preserve">    f) </w:t>
            </w:r>
            <w:proofErr w:type="spellStart"/>
            <w:r w:rsidRPr="0036044B">
              <w:rPr>
                <w:bCs/>
                <w:lang w:val="en-US"/>
              </w:rPr>
              <w:t>impactul</w:t>
            </w:r>
            <w:proofErr w:type="spellEnd"/>
            <w:r w:rsidRPr="0036044B">
              <w:rPr>
                <w:bCs/>
                <w:lang w:val="en-US"/>
              </w:rPr>
              <w:t xml:space="preserve"> </w:t>
            </w:r>
            <w:proofErr w:type="spellStart"/>
            <w:r w:rsidRPr="0036044B">
              <w:rPr>
                <w:bCs/>
                <w:lang w:val="en-US"/>
              </w:rPr>
              <w:t>asupra</w:t>
            </w:r>
            <w:proofErr w:type="spellEnd"/>
            <w:r w:rsidRPr="0036044B">
              <w:rPr>
                <w:bCs/>
                <w:lang w:val="en-US"/>
              </w:rPr>
              <w:t xml:space="preserve"> </w:t>
            </w:r>
            <w:proofErr w:type="spellStart"/>
            <w:r w:rsidRPr="0036044B">
              <w:rPr>
                <w:bCs/>
                <w:lang w:val="en-US"/>
              </w:rPr>
              <w:t>domeniului</w:t>
            </w:r>
            <w:proofErr w:type="spellEnd"/>
            <w:r w:rsidRPr="0036044B">
              <w:rPr>
                <w:bCs/>
                <w:lang w:val="en-US"/>
              </w:rPr>
              <w:t xml:space="preserve"> </w:t>
            </w:r>
            <w:proofErr w:type="spellStart"/>
            <w:r w:rsidRPr="0036044B">
              <w:rPr>
                <w:bCs/>
                <w:lang w:val="en-US"/>
              </w:rPr>
              <w:t>tineret</w:t>
            </w:r>
            <w:proofErr w:type="spellEnd"/>
            <w:r w:rsidRPr="0036044B">
              <w:rPr>
                <w:bCs/>
                <w:lang w:val="en-US"/>
              </w:rPr>
              <w:t>;</w:t>
            </w:r>
          </w:p>
          <w:p w14:paraId="3C600195" w14:textId="77777777" w:rsidR="00FB45DC" w:rsidRPr="0036044B" w:rsidRDefault="00FB45DC" w:rsidP="0036044B">
            <w:pPr>
              <w:spacing w:after="120"/>
              <w:jc w:val="both"/>
              <w:rPr>
                <w:bCs/>
                <w:lang w:val="en-US"/>
              </w:rPr>
            </w:pPr>
            <w:r w:rsidRPr="0036044B">
              <w:rPr>
                <w:bCs/>
                <w:lang w:val="en-US"/>
              </w:rPr>
              <w:t xml:space="preserve">    g) </w:t>
            </w:r>
            <w:proofErr w:type="spellStart"/>
            <w:r w:rsidRPr="0036044B">
              <w:rPr>
                <w:bCs/>
                <w:lang w:val="en-US"/>
              </w:rPr>
              <w:t>impactul</w:t>
            </w:r>
            <w:proofErr w:type="spellEnd"/>
            <w:r w:rsidRPr="0036044B">
              <w:rPr>
                <w:bCs/>
                <w:lang w:val="en-US"/>
              </w:rPr>
              <w:t xml:space="preserve"> </w:t>
            </w:r>
            <w:proofErr w:type="spellStart"/>
            <w:r w:rsidRPr="0036044B">
              <w:rPr>
                <w:bCs/>
                <w:lang w:val="en-US"/>
              </w:rPr>
              <w:t>asupra</w:t>
            </w:r>
            <w:proofErr w:type="spellEnd"/>
            <w:r w:rsidRPr="0036044B">
              <w:rPr>
                <w:bCs/>
                <w:lang w:val="en-US"/>
              </w:rPr>
              <w:t xml:space="preserve"> </w:t>
            </w:r>
            <w:proofErr w:type="spellStart"/>
            <w:r w:rsidRPr="0036044B">
              <w:rPr>
                <w:bCs/>
                <w:lang w:val="en-US"/>
              </w:rPr>
              <w:t>domeniului</w:t>
            </w:r>
            <w:proofErr w:type="spellEnd"/>
            <w:r w:rsidRPr="0036044B">
              <w:rPr>
                <w:bCs/>
                <w:lang w:val="en-US"/>
              </w:rPr>
              <w:t xml:space="preserve"> cultural;</w:t>
            </w:r>
          </w:p>
          <w:p w14:paraId="4A299409" w14:textId="77777777" w:rsidR="00FB45DC" w:rsidRPr="0036044B" w:rsidRDefault="00FB45DC" w:rsidP="0036044B">
            <w:pPr>
              <w:spacing w:after="120"/>
              <w:jc w:val="both"/>
              <w:rPr>
                <w:bCs/>
                <w:lang w:val="en-US"/>
              </w:rPr>
            </w:pPr>
            <w:r w:rsidRPr="0036044B">
              <w:rPr>
                <w:bCs/>
                <w:lang w:val="en-US"/>
              </w:rPr>
              <w:t xml:space="preserve">    h) </w:t>
            </w:r>
            <w:proofErr w:type="spellStart"/>
            <w:r w:rsidRPr="0036044B">
              <w:rPr>
                <w:bCs/>
                <w:lang w:val="en-US"/>
              </w:rPr>
              <w:t>impactul</w:t>
            </w:r>
            <w:proofErr w:type="spellEnd"/>
            <w:r w:rsidRPr="0036044B">
              <w:rPr>
                <w:bCs/>
                <w:lang w:val="en-US"/>
              </w:rPr>
              <w:t xml:space="preserve"> </w:t>
            </w:r>
            <w:proofErr w:type="spellStart"/>
            <w:r w:rsidRPr="0036044B">
              <w:rPr>
                <w:bCs/>
                <w:lang w:val="en-US"/>
              </w:rPr>
              <w:t>asupra</w:t>
            </w:r>
            <w:proofErr w:type="spellEnd"/>
            <w:r w:rsidRPr="0036044B">
              <w:rPr>
                <w:bCs/>
                <w:lang w:val="en-US"/>
              </w:rPr>
              <w:t xml:space="preserve"> </w:t>
            </w:r>
            <w:proofErr w:type="spellStart"/>
            <w:r w:rsidRPr="0036044B">
              <w:rPr>
                <w:bCs/>
                <w:lang w:val="en-US"/>
              </w:rPr>
              <w:t>drepturilor</w:t>
            </w:r>
            <w:proofErr w:type="spellEnd"/>
            <w:r w:rsidRPr="0036044B">
              <w:rPr>
                <w:bCs/>
                <w:lang w:val="en-US"/>
              </w:rPr>
              <w:t xml:space="preserve"> </w:t>
            </w:r>
            <w:proofErr w:type="spellStart"/>
            <w:r w:rsidRPr="0036044B">
              <w:rPr>
                <w:bCs/>
                <w:lang w:val="en-US"/>
              </w:rPr>
              <w:t>şi</w:t>
            </w:r>
            <w:proofErr w:type="spellEnd"/>
            <w:r w:rsidRPr="0036044B">
              <w:rPr>
                <w:bCs/>
                <w:lang w:val="en-US"/>
              </w:rPr>
              <w:t xml:space="preserve"> </w:t>
            </w:r>
            <w:proofErr w:type="spellStart"/>
            <w:r w:rsidRPr="0036044B">
              <w:rPr>
                <w:bCs/>
                <w:lang w:val="en-US"/>
              </w:rPr>
              <w:t>libertăţilor</w:t>
            </w:r>
            <w:proofErr w:type="spellEnd"/>
            <w:r w:rsidRPr="0036044B">
              <w:rPr>
                <w:bCs/>
                <w:lang w:val="en-US"/>
              </w:rPr>
              <w:t xml:space="preserve"> </w:t>
            </w:r>
            <w:proofErr w:type="spellStart"/>
            <w:r w:rsidRPr="0036044B">
              <w:rPr>
                <w:bCs/>
                <w:lang w:val="en-US"/>
              </w:rPr>
              <w:t>fundamentale</w:t>
            </w:r>
            <w:proofErr w:type="spellEnd"/>
            <w:r w:rsidRPr="0036044B">
              <w:rPr>
                <w:bCs/>
                <w:lang w:val="en-US"/>
              </w:rPr>
              <w:t xml:space="preserve"> ale </w:t>
            </w:r>
            <w:proofErr w:type="spellStart"/>
            <w:r w:rsidRPr="0036044B">
              <w:rPr>
                <w:bCs/>
                <w:lang w:val="en-US"/>
              </w:rPr>
              <w:t>omului</w:t>
            </w:r>
            <w:proofErr w:type="spellEnd"/>
            <w:r w:rsidRPr="0036044B">
              <w:rPr>
                <w:bCs/>
                <w:lang w:val="en-US"/>
              </w:rPr>
              <w:t>;</w:t>
            </w:r>
          </w:p>
          <w:p w14:paraId="3820EE1E" w14:textId="77777777" w:rsidR="00FB45DC" w:rsidRPr="0036044B" w:rsidRDefault="00FB45DC" w:rsidP="0036044B">
            <w:pPr>
              <w:spacing w:after="120"/>
              <w:jc w:val="both"/>
              <w:rPr>
                <w:bCs/>
                <w:lang w:val="en-US"/>
              </w:rPr>
            </w:pPr>
            <w:r w:rsidRPr="0036044B">
              <w:rPr>
                <w:bCs/>
                <w:lang w:val="en-US"/>
              </w:rPr>
              <w:t xml:space="preserve">    </w:t>
            </w:r>
            <w:proofErr w:type="spellStart"/>
            <w:r w:rsidRPr="0036044B">
              <w:rPr>
                <w:bCs/>
                <w:lang w:val="en-US"/>
              </w:rPr>
              <w:t>i</w:t>
            </w:r>
            <w:proofErr w:type="spellEnd"/>
            <w:r w:rsidRPr="0036044B">
              <w:rPr>
                <w:bCs/>
                <w:lang w:val="en-US"/>
              </w:rPr>
              <w:t xml:space="preserve">) </w:t>
            </w:r>
            <w:proofErr w:type="spellStart"/>
            <w:r w:rsidRPr="0036044B">
              <w:rPr>
                <w:bCs/>
                <w:lang w:val="en-US"/>
              </w:rPr>
              <w:t>impactul</w:t>
            </w:r>
            <w:proofErr w:type="spellEnd"/>
            <w:r w:rsidRPr="0036044B">
              <w:rPr>
                <w:bCs/>
                <w:lang w:val="en-US"/>
              </w:rPr>
              <w:t xml:space="preserve"> </w:t>
            </w:r>
            <w:proofErr w:type="spellStart"/>
            <w:r w:rsidRPr="0036044B">
              <w:rPr>
                <w:bCs/>
                <w:lang w:val="en-US"/>
              </w:rPr>
              <w:t>asupra</w:t>
            </w:r>
            <w:proofErr w:type="spellEnd"/>
            <w:r w:rsidRPr="0036044B">
              <w:rPr>
                <w:bCs/>
                <w:lang w:val="en-US"/>
              </w:rPr>
              <w:t xml:space="preserve"> </w:t>
            </w:r>
            <w:proofErr w:type="spellStart"/>
            <w:r w:rsidRPr="0036044B">
              <w:rPr>
                <w:bCs/>
                <w:lang w:val="en-US"/>
              </w:rPr>
              <w:t>respectării</w:t>
            </w:r>
            <w:proofErr w:type="spellEnd"/>
            <w:r w:rsidRPr="0036044B">
              <w:rPr>
                <w:bCs/>
                <w:lang w:val="en-US"/>
              </w:rPr>
              <w:t xml:space="preserve"> </w:t>
            </w:r>
            <w:proofErr w:type="spellStart"/>
            <w:r w:rsidRPr="0036044B">
              <w:rPr>
                <w:bCs/>
                <w:lang w:val="en-US"/>
              </w:rPr>
              <w:t>principiului</w:t>
            </w:r>
            <w:proofErr w:type="spellEnd"/>
            <w:r w:rsidRPr="0036044B">
              <w:rPr>
                <w:bCs/>
                <w:lang w:val="en-US"/>
              </w:rPr>
              <w:t xml:space="preserve"> </w:t>
            </w:r>
            <w:proofErr w:type="spellStart"/>
            <w:r w:rsidRPr="0036044B">
              <w:rPr>
                <w:bCs/>
                <w:lang w:val="en-US"/>
              </w:rPr>
              <w:t>egalităţii</w:t>
            </w:r>
            <w:proofErr w:type="spellEnd"/>
            <w:r w:rsidRPr="0036044B">
              <w:rPr>
                <w:bCs/>
                <w:lang w:val="en-US"/>
              </w:rPr>
              <w:t xml:space="preserve"> de </w:t>
            </w:r>
            <w:proofErr w:type="spellStart"/>
            <w:r w:rsidRPr="0036044B">
              <w:rPr>
                <w:bCs/>
                <w:lang w:val="en-US"/>
              </w:rPr>
              <w:t>şanse</w:t>
            </w:r>
            <w:proofErr w:type="spellEnd"/>
            <w:r w:rsidRPr="0036044B">
              <w:rPr>
                <w:bCs/>
                <w:lang w:val="en-US"/>
              </w:rPr>
              <w:t xml:space="preserve"> </w:t>
            </w:r>
            <w:proofErr w:type="spellStart"/>
            <w:r w:rsidRPr="0036044B">
              <w:rPr>
                <w:bCs/>
                <w:lang w:val="en-US"/>
              </w:rPr>
              <w:t>şi</w:t>
            </w:r>
            <w:proofErr w:type="spellEnd"/>
            <w:r w:rsidRPr="0036044B">
              <w:rPr>
                <w:bCs/>
                <w:lang w:val="en-US"/>
              </w:rPr>
              <w:t xml:space="preserve"> </w:t>
            </w:r>
            <w:proofErr w:type="spellStart"/>
            <w:r w:rsidRPr="0036044B">
              <w:rPr>
                <w:bCs/>
                <w:lang w:val="en-US"/>
              </w:rPr>
              <w:t>nondiscriminării</w:t>
            </w:r>
            <w:proofErr w:type="spellEnd"/>
            <w:r w:rsidRPr="0036044B">
              <w:rPr>
                <w:bCs/>
                <w:lang w:val="en-US"/>
              </w:rPr>
              <w:t>;</w:t>
            </w:r>
          </w:p>
          <w:p w14:paraId="190C27FD" w14:textId="77777777" w:rsidR="00FB45DC" w:rsidRPr="0036044B" w:rsidRDefault="00FB45DC" w:rsidP="0036044B">
            <w:pPr>
              <w:spacing w:after="120"/>
              <w:jc w:val="both"/>
              <w:rPr>
                <w:bCs/>
              </w:rPr>
            </w:pPr>
            <w:r w:rsidRPr="0036044B">
              <w:rPr>
                <w:bCs/>
                <w:lang w:val="en-US"/>
              </w:rPr>
              <w:t xml:space="preserve">    j) </w:t>
            </w:r>
            <w:proofErr w:type="spellStart"/>
            <w:r w:rsidRPr="0036044B">
              <w:rPr>
                <w:bCs/>
                <w:lang w:val="en-US"/>
              </w:rPr>
              <w:t>impactul</w:t>
            </w:r>
            <w:proofErr w:type="spellEnd"/>
            <w:r w:rsidRPr="0036044B">
              <w:rPr>
                <w:bCs/>
                <w:lang w:val="en-US"/>
              </w:rPr>
              <w:t xml:space="preserve"> </w:t>
            </w:r>
            <w:proofErr w:type="spellStart"/>
            <w:r w:rsidRPr="0036044B">
              <w:rPr>
                <w:bCs/>
                <w:lang w:val="en-US"/>
              </w:rPr>
              <w:t>asupra</w:t>
            </w:r>
            <w:proofErr w:type="spellEnd"/>
            <w:r w:rsidRPr="0036044B">
              <w:rPr>
                <w:bCs/>
                <w:lang w:val="en-US"/>
              </w:rPr>
              <w:t xml:space="preserve"> </w:t>
            </w:r>
            <w:proofErr w:type="spellStart"/>
            <w:r w:rsidRPr="0036044B">
              <w:rPr>
                <w:bCs/>
                <w:lang w:val="en-US"/>
              </w:rPr>
              <w:t>administraţiei</w:t>
            </w:r>
            <w:proofErr w:type="spellEnd"/>
            <w:r w:rsidRPr="0036044B">
              <w:rPr>
                <w:bCs/>
                <w:lang w:val="en-US"/>
              </w:rPr>
              <w:t xml:space="preserve"> </w:t>
            </w:r>
            <w:proofErr w:type="spellStart"/>
            <w:r w:rsidRPr="0036044B">
              <w:rPr>
                <w:bCs/>
                <w:lang w:val="en-US"/>
              </w:rPr>
              <w:t>publice</w:t>
            </w:r>
            <w:proofErr w:type="spellEnd"/>
            <w:r w:rsidRPr="0036044B">
              <w:rPr>
                <w:bCs/>
                <w:lang w:val="en-US"/>
              </w:rPr>
              <w:t xml:space="preserve"> centrale </w:t>
            </w:r>
            <w:proofErr w:type="spellStart"/>
            <w:r w:rsidRPr="0036044B">
              <w:rPr>
                <w:bCs/>
                <w:lang w:val="en-US"/>
              </w:rPr>
              <w:t>şi</w:t>
            </w:r>
            <w:proofErr w:type="spellEnd"/>
            <w:r w:rsidRPr="0036044B">
              <w:rPr>
                <w:bCs/>
                <w:lang w:val="en-US"/>
              </w:rPr>
              <w:t xml:space="preserve"> locale, </w:t>
            </w:r>
            <w:proofErr w:type="spellStart"/>
            <w:r w:rsidRPr="0036044B">
              <w:rPr>
                <w:bCs/>
                <w:lang w:val="en-US"/>
              </w:rPr>
              <w:t>inclusiv</w:t>
            </w:r>
            <w:proofErr w:type="spellEnd"/>
            <w:r w:rsidRPr="0036044B">
              <w:rPr>
                <w:bCs/>
                <w:lang w:val="en-US"/>
              </w:rPr>
              <w:t xml:space="preserve"> din </w:t>
            </w:r>
            <w:proofErr w:type="spellStart"/>
            <w:r w:rsidRPr="0036044B">
              <w:rPr>
                <w:bCs/>
                <w:lang w:val="en-US"/>
              </w:rPr>
              <w:t>perspectiva</w:t>
            </w:r>
            <w:proofErr w:type="spellEnd"/>
            <w:r w:rsidRPr="0036044B">
              <w:rPr>
                <w:bCs/>
                <w:lang w:val="en-US"/>
              </w:rPr>
              <w:t xml:space="preserve"> </w:t>
            </w:r>
            <w:proofErr w:type="spellStart"/>
            <w:r w:rsidRPr="0036044B">
              <w:rPr>
                <w:bCs/>
                <w:lang w:val="en-US"/>
              </w:rPr>
              <w:t>costurilor</w:t>
            </w:r>
            <w:proofErr w:type="spellEnd"/>
            <w:r w:rsidRPr="0036044B">
              <w:rPr>
                <w:bCs/>
                <w:lang w:val="en-US"/>
              </w:rPr>
              <w:t xml:space="preserve"> </w:t>
            </w:r>
            <w:proofErr w:type="spellStart"/>
            <w:r w:rsidRPr="0036044B">
              <w:rPr>
                <w:bCs/>
                <w:lang w:val="en-US"/>
              </w:rPr>
              <w:t>şi</w:t>
            </w:r>
            <w:proofErr w:type="spellEnd"/>
            <w:r w:rsidRPr="0036044B">
              <w:rPr>
                <w:bCs/>
                <w:lang w:val="en-US"/>
              </w:rPr>
              <w:t xml:space="preserve"> </w:t>
            </w:r>
            <w:proofErr w:type="spellStart"/>
            <w:r w:rsidRPr="0036044B">
              <w:rPr>
                <w:bCs/>
                <w:lang w:val="en-US"/>
              </w:rPr>
              <w:t>beneficiilor</w:t>
            </w:r>
            <w:proofErr w:type="spellEnd"/>
            <w:r w:rsidRPr="0036044B">
              <w:rPr>
                <w:bCs/>
                <w:lang w:val="en-US"/>
              </w:rPr>
              <w:t xml:space="preserve"> </w:t>
            </w:r>
            <w:proofErr w:type="spellStart"/>
            <w:r w:rsidRPr="0036044B">
              <w:rPr>
                <w:bCs/>
                <w:lang w:val="en-US"/>
              </w:rPr>
              <w:t>directe</w:t>
            </w:r>
            <w:proofErr w:type="spellEnd"/>
            <w:r w:rsidRPr="0036044B">
              <w:rPr>
                <w:bCs/>
                <w:lang w:val="en-US"/>
              </w:rPr>
              <w:t xml:space="preserve"> </w:t>
            </w:r>
            <w:proofErr w:type="spellStart"/>
            <w:r w:rsidRPr="0036044B">
              <w:rPr>
                <w:bCs/>
                <w:lang w:val="en-US"/>
              </w:rPr>
              <w:t>şi</w:t>
            </w:r>
            <w:proofErr w:type="spellEnd"/>
            <w:r w:rsidRPr="0036044B">
              <w:rPr>
                <w:bCs/>
                <w:lang w:val="en-US"/>
              </w:rPr>
              <w:t xml:space="preserve"> </w:t>
            </w:r>
            <w:proofErr w:type="spellStart"/>
            <w:r w:rsidRPr="0036044B">
              <w:rPr>
                <w:bCs/>
                <w:lang w:val="en-US"/>
              </w:rPr>
              <w:t>indirecte</w:t>
            </w:r>
            <w:proofErr w:type="spellEnd"/>
            <w:r w:rsidRPr="0036044B">
              <w:rPr>
                <w:bCs/>
                <w:lang w:val="en-US"/>
              </w:rPr>
              <w:t xml:space="preserve"> </w:t>
            </w:r>
            <w:proofErr w:type="spellStart"/>
            <w:r w:rsidRPr="0036044B">
              <w:rPr>
                <w:bCs/>
                <w:lang w:val="en-US"/>
              </w:rPr>
              <w:t>preconizate</w:t>
            </w:r>
            <w:proofErr w:type="spellEnd"/>
            <w:r w:rsidRPr="0036044B">
              <w:rPr>
                <w:bCs/>
                <w:lang w:val="en-US"/>
              </w:rPr>
              <w:t>.</w:t>
            </w:r>
          </w:p>
          <w:p w14:paraId="71A3E7CB" w14:textId="232B29F4" w:rsidR="00F72189" w:rsidRPr="0036044B" w:rsidRDefault="00F72189" w:rsidP="0036044B">
            <w:pPr>
              <w:spacing w:after="120"/>
              <w:jc w:val="both"/>
              <w:rPr>
                <w:b/>
              </w:rPr>
            </w:pPr>
            <w:r w:rsidRPr="0036044B">
              <w:rPr>
                <w:b/>
              </w:rPr>
              <w:t xml:space="preserve">3.3. Impactul asupra drepturilor și libertăților fundamentale ale omului </w:t>
            </w:r>
          </w:p>
          <w:p w14:paraId="33B1CD28" w14:textId="42B1943C" w:rsidR="00FB45DC" w:rsidRPr="0036044B" w:rsidRDefault="00FB45DC" w:rsidP="0036044B">
            <w:pPr>
              <w:spacing w:after="120"/>
              <w:jc w:val="both"/>
              <w:rPr>
                <w:bCs/>
              </w:rPr>
            </w:pPr>
            <w:r w:rsidRPr="0036044B">
              <w:rPr>
                <w:bCs/>
              </w:rPr>
              <w:t xml:space="preserve">    a) descrierea impactului măsurilor cuprinse în proiectul de act normativ asupra drepturilor </w:t>
            </w:r>
            <w:proofErr w:type="spellStart"/>
            <w:r w:rsidRPr="0036044B">
              <w:rPr>
                <w:bCs/>
              </w:rPr>
              <w:t>şi</w:t>
            </w:r>
            <w:proofErr w:type="spellEnd"/>
            <w:r w:rsidRPr="0036044B">
              <w:rPr>
                <w:bCs/>
              </w:rPr>
              <w:t xml:space="preserve"> </w:t>
            </w:r>
            <w:proofErr w:type="spellStart"/>
            <w:r w:rsidRPr="0036044B">
              <w:rPr>
                <w:bCs/>
              </w:rPr>
              <w:t>libertăţilor</w:t>
            </w:r>
            <w:proofErr w:type="spellEnd"/>
            <w:r w:rsidRPr="0036044B">
              <w:rPr>
                <w:bCs/>
              </w:rPr>
              <w:t xml:space="preserve"> fundamentale ale omului;</w:t>
            </w:r>
          </w:p>
          <w:p w14:paraId="47184455" w14:textId="77777777" w:rsidR="00FB45DC" w:rsidRPr="0036044B" w:rsidRDefault="00FB45DC" w:rsidP="0036044B">
            <w:pPr>
              <w:spacing w:after="120"/>
              <w:jc w:val="both"/>
              <w:rPr>
                <w:bCs/>
              </w:rPr>
            </w:pPr>
            <w:r w:rsidRPr="0036044B">
              <w:rPr>
                <w:bCs/>
              </w:rPr>
              <w:t xml:space="preserve">    b) descrierea </w:t>
            </w:r>
            <w:proofErr w:type="spellStart"/>
            <w:r w:rsidRPr="0036044B">
              <w:rPr>
                <w:bCs/>
              </w:rPr>
              <w:t>modalităţii</w:t>
            </w:r>
            <w:proofErr w:type="spellEnd"/>
            <w:r w:rsidRPr="0036044B">
              <w:rPr>
                <w:bCs/>
              </w:rPr>
              <w:t xml:space="preserve"> în care aplicarea proiectului de act normativ va evita limitări ale unor drepturi </w:t>
            </w:r>
            <w:proofErr w:type="spellStart"/>
            <w:r w:rsidRPr="0036044B">
              <w:rPr>
                <w:bCs/>
              </w:rPr>
              <w:t>şi</w:t>
            </w:r>
            <w:proofErr w:type="spellEnd"/>
            <w:r w:rsidRPr="0036044B">
              <w:rPr>
                <w:bCs/>
              </w:rPr>
              <w:t xml:space="preserve"> </w:t>
            </w:r>
            <w:proofErr w:type="spellStart"/>
            <w:r w:rsidRPr="0036044B">
              <w:rPr>
                <w:bCs/>
              </w:rPr>
              <w:t>libertăţi</w:t>
            </w:r>
            <w:proofErr w:type="spellEnd"/>
            <w:r w:rsidRPr="0036044B">
              <w:rPr>
                <w:bCs/>
              </w:rPr>
              <w:t>;</w:t>
            </w:r>
          </w:p>
          <w:p w14:paraId="49F54BE2" w14:textId="090251B1" w:rsidR="00FB45DC" w:rsidRPr="0036044B" w:rsidRDefault="00FB45DC" w:rsidP="0036044B">
            <w:pPr>
              <w:spacing w:after="120"/>
              <w:jc w:val="both"/>
              <w:rPr>
                <w:bCs/>
              </w:rPr>
            </w:pPr>
            <w:r w:rsidRPr="0036044B">
              <w:rPr>
                <w:bCs/>
              </w:rPr>
              <w:t xml:space="preserve">    c) corelarea cu </w:t>
            </w:r>
            <w:proofErr w:type="spellStart"/>
            <w:r w:rsidRPr="0036044B">
              <w:rPr>
                <w:bCs/>
              </w:rPr>
              <w:t>dispoziţiile</w:t>
            </w:r>
            <w:proofErr w:type="spellEnd"/>
            <w:r w:rsidRPr="0036044B">
              <w:rPr>
                <w:bCs/>
              </w:rPr>
              <w:t xml:space="preserve"> </w:t>
            </w:r>
            <w:proofErr w:type="spellStart"/>
            <w:r w:rsidRPr="0036044B">
              <w:rPr>
                <w:bCs/>
              </w:rPr>
              <w:t>Convenţiei</w:t>
            </w:r>
            <w:proofErr w:type="spellEnd"/>
            <w:r w:rsidRPr="0036044B">
              <w:rPr>
                <w:bCs/>
              </w:rPr>
              <w:t xml:space="preserve"> pentru apărarea drepturilor omului </w:t>
            </w:r>
            <w:proofErr w:type="spellStart"/>
            <w:r w:rsidRPr="0036044B">
              <w:rPr>
                <w:bCs/>
              </w:rPr>
              <w:t>şi</w:t>
            </w:r>
            <w:proofErr w:type="spellEnd"/>
            <w:r w:rsidRPr="0036044B">
              <w:rPr>
                <w:bCs/>
              </w:rPr>
              <w:t xml:space="preserve"> a </w:t>
            </w:r>
            <w:proofErr w:type="spellStart"/>
            <w:r w:rsidRPr="0036044B">
              <w:rPr>
                <w:bCs/>
              </w:rPr>
              <w:t>libertăţilor</w:t>
            </w:r>
            <w:proofErr w:type="spellEnd"/>
            <w:r w:rsidRPr="0036044B">
              <w:rPr>
                <w:bCs/>
              </w:rPr>
              <w:t xml:space="preserve"> fundamentale </w:t>
            </w:r>
            <w:proofErr w:type="spellStart"/>
            <w:r w:rsidRPr="0036044B">
              <w:rPr>
                <w:bCs/>
              </w:rPr>
              <w:t>şi</w:t>
            </w:r>
            <w:proofErr w:type="spellEnd"/>
            <w:r w:rsidRPr="0036044B">
              <w:rPr>
                <w:bCs/>
              </w:rPr>
              <w:t xml:space="preserve"> ale protocoalelor </w:t>
            </w:r>
            <w:proofErr w:type="spellStart"/>
            <w:r w:rsidRPr="0036044B">
              <w:rPr>
                <w:bCs/>
              </w:rPr>
              <w:t>adiţionale</w:t>
            </w:r>
            <w:proofErr w:type="spellEnd"/>
            <w:r w:rsidRPr="0036044B">
              <w:rPr>
                <w:bCs/>
              </w:rPr>
              <w:t xml:space="preserve"> la aceasta, ratificate de România, precum </w:t>
            </w:r>
            <w:proofErr w:type="spellStart"/>
            <w:r w:rsidRPr="0036044B">
              <w:rPr>
                <w:bCs/>
              </w:rPr>
              <w:t>şi</w:t>
            </w:r>
            <w:proofErr w:type="spellEnd"/>
            <w:r w:rsidRPr="0036044B">
              <w:rPr>
                <w:bCs/>
              </w:rPr>
              <w:t xml:space="preserve"> cu </w:t>
            </w:r>
            <w:proofErr w:type="spellStart"/>
            <w:r w:rsidRPr="0036044B">
              <w:rPr>
                <w:bCs/>
              </w:rPr>
              <w:t>jurisprudenţa</w:t>
            </w:r>
            <w:proofErr w:type="spellEnd"/>
            <w:r w:rsidRPr="0036044B">
              <w:rPr>
                <w:bCs/>
              </w:rPr>
              <w:t xml:space="preserve"> </w:t>
            </w:r>
            <w:proofErr w:type="spellStart"/>
            <w:r w:rsidRPr="0036044B">
              <w:rPr>
                <w:bCs/>
              </w:rPr>
              <w:t>Curţii</w:t>
            </w:r>
            <w:proofErr w:type="spellEnd"/>
            <w:r w:rsidRPr="0036044B">
              <w:rPr>
                <w:bCs/>
              </w:rPr>
              <w:t xml:space="preserve"> Europene a Drepturilor Omului.</w:t>
            </w:r>
          </w:p>
          <w:p w14:paraId="139B6ECC" w14:textId="3BEF0A3B" w:rsidR="00FB45DC" w:rsidRPr="0036044B" w:rsidRDefault="00FD3526" w:rsidP="0036044B">
            <w:pPr>
              <w:spacing w:after="120"/>
              <w:jc w:val="both"/>
              <w:rPr>
                <w:b/>
              </w:rPr>
            </w:pPr>
            <w:r w:rsidRPr="0036044B">
              <w:rPr>
                <w:b/>
              </w:rPr>
              <w:t>3.4. Impactul macroeconomic</w:t>
            </w:r>
          </w:p>
          <w:p w14:paraId="0A5C3C50" w14:textId="77777777" w:rsidR="009545F6" w:rsidRPr="0036044B" w:rsidRDefault="009545F6" w:rsidP="0036044B">
            <w:pPr>
              <w:jc w:val="both"/>
            </w:pPr>
            <w:r w:rsidRPr="0036044B">
              <w:t xml:space="preserve">Măsurile incluse în PNRR au impact macroeconomic, contribuind la </w:t>
            </w:r>
            <w:r w:rsidRPr="0036044B">
              <w:rPr>
                <w:bCs/>
              </w:rPr>
              <w:t>redresarea economică și socială și la dezvoltarea pe termen lung a țării</w:t>
            </w:r>
            <w:r w:rsidRPr="0036044B">
              <w:t xml:space="preserve"> ca urmare a crizei COVID-19, prin măsurile de sprijinire a investițiilor private, în special pentru IMM-uri, crearea de locuri de muncă și a unui mediu de afaceri mai puternic, promovarea competențelor verzi și digitale, creșterea favorabilă incluziunii prin reducerea disparităților, dezvoltarea </w:t>
            </w:r>
            <w:proofErr w:type="spellStart"/>
            <w:r w:rsidRPr="0036044B">
              <w:t>investitiilor</w:t>
            </w:r>
            <w:proofErr w:type="spellEnd"/>
            <w:r w:rsidRPr="0036044B">
              <w:t xml:space="preserve"> în infrastructura de transport, sănătate, educație și mediul de afaceri. </w:t>
            </w:r>
          </w:p>
          <w:p w14:paraId="0F828CBA" w14:textId="77777777" w:rsidR="009545F6" w:rsidRPr="0036044B" w:rsidRDefault="009545F6" w:rsidP="0036044B">
            <w:pPr>
              <w:pStyle w:val="BodyText"/>
              <w:spacing w:after="0"/>
              <w:jc w:val="both"/>
              <w:rPr>
                <w:b/>
                <w:bCs/>
                <w:lang w:val="ro-RO" w:eastAsia="en-US"/>
              </w:rPr>
            </w:pPr>
            <w:r w:rsidRPr="0036044B">
              <w:rPr>
                <w:b/>
                <w:bCs/>
                <w:lang w:val="ro-RO" w:eastAsia="en-US"/>
              </w:rPr>
              <w:t>A fost calculat impactul macroeconomic al absorbției fondurilor din PNRR prin simularea a trei scenarii ipotetice, respectiv:</w:t>
            </w:r>
          </w:p>
          <w:p w14:paraId="1E5D6FDF" w14:textId="77777777" w:rsidR="009545F6" w:rsidRPr="0036044B" w:rsidRDefault="009545F6" w:rsidP="0036044B">
            <w:pPr>
              <w:pStyle w:val="BodyText"/>
              <w:spacing w:after="0"/>
              <w:jc w:val="both"/>
              <w:rPr>
                <w:lang w:val="ro-RO" w:eastAsia="en-US"/>
              </w:rPr>
            </w:pPr>
          </w:p>
          <w:p w14:paraId="01998F9D" w14:textId="77777777" w:rsidR="009545F6" w:rsidRPr="0036044B" w:rsidRDefault="009545F6" w:rsidP="0036044B">
            <w:pPr>
              <w:pStyle w:val="ListaCifreRomane"/>
              <w:numPr>
                <w:ilvl w:val="0"/>
                <w:numId w:val="18"/>
              </w:numPr>
              <w:spacing w:after="0" w:line="240" w:lineRule="auto"/>
              <w:ind w:left="924" w:hanging="357"/>
              <w:rPr>
                <w:rFonts w:ascii="Times New Roman" w:hAnsi="Times New Roman" w:cs="Times New Roman"/>
              </w:rPr>
            </w:pPr>
            <w:r w:rsidRPr="0036044B">
              <w:rPr>
                <w:rFonts w:ascii="Times New Roman" w:hAnsi="Times New Roman" w:cs="Times New Roman"/>
              </w:rPr>
              <w:t>absorbția integrală a granturilor și a împrumuturilor astfel:</w:t>
            </w:r>
          </w:p>
          <w:p w14:paraId="7B272617" w14:textId="77777777" w:rsidR="009545F6" w:rsidRPr="0036044B" w:rsidRDefault="009545F6" w:rsidP="0036044B">
            <w:pPr>
              <w:pStyle w:val="ListaA"/>
              <w:numPr>
                <w:ilvl w:val="1"/>
                <w:numId w:val="20"/>
              </w:numPr>
              <w:spacing w:after="0" w:line="240" w:lineRule="auto"/>
              <w:rPr>
                <w:rFonts w:ascii="Times New Roman" w:hAnsi="Times New Roman" w:cs="Times New Roman"/>
              </w:rPr>
            </w:pPr>
            <w:r w:rsidRPr="0036044B">
              <w:rPr>
                <w:rFonts w:ascii="Times New Roman" w:hAnsi="Times New Roman" w:cs="Times New Roman"/>
              </w:rPr>
              <w:t>utilizarea graduală a granturilor în perioada 2021-2026</w:t>
            </w:r>
          </w:p>
          <w:p w14:paraId="27ED3911" w14:textId="77777777" w:rsidR="009545F6" w:rsidRPr="0036044B" w:rsidRDefault="009545F6" w:rsidP="0036044B">
            <w:pPr>
              <w:pStyle w:val="ListaA"/>
              <w:numPr>
                <w:ilvl w:val="1"/>
                <w:numId w:val="20"/>
              </w:numPr>
              <w:spacing w:after="0" w:line="240" w:lineRule="auto"/>
              <w:rPr>
                <w:rFonts w:ascii="Times New Roman" w:hAnsi="Times New Roman" w:cs="Times New Roman"/>
              </w:rPr>
            </w:pPr>
            <w:r w:rsidRPr="0036044B">
              <w:rPr>
                <w:rFonts w:ascii="Times New Roman" w:hAnsi="Times New Roman" w:cs="Times New Roman"/>
              </w:rPr>
              <w:lastRenderedPageBreak/>
              <w:t>utilizarea a 25% din împrumuturi în 2021-2024 și 75% în 2025-2026</w:t>
            </w:r>
            <w:r w:rsidRPr="0036044B">
              <w:rPr>
                <w:rFonts w:ascii="Times New Roman" w:hAnsi="Times New Roman" w:cs="Times New Roman"/>
                <w:vertAlign w:val="superscript"/>
              </w:rPr>
              <w:footnoteReference w:id="1"/>
            </w:r>
          </w:p>
          <w:p w14:paraId="52B3182B" w14:textId="77777777" w:rsidR="009545F6" w:rsidRPr="0036044B" w:rsidRDefault="009545F6" w:rsidP="0036044B">
            <w:pPr>
              <w:pStyle w:val="ListaCifreRomane"/>
              <w:numPr>
                <w:ilvl w:val="0"/>
                <w:numId w:val="18"/>
              </w:numPr>
              <w:spacing w:after="0" w:line="240" w:lineRule="auto"/>
              <w:ind w:left="924" w:hanging="357"/>
              <w:rPr>
                <w:rFonts w:ascii="Times New Roman" w:hAnsi="Times New Roman" w:cs="Times New Roman"/>
              </w:rPr>
            </w:pPr>
            <w:r w:rsidRPr="0036044B">
              <w:rPr>
                <w:rFonts w:ascii="Times New Roman" w:hAnsi="Times New Roman" w:cs="Times New Roman"/>
              </w:rPr>
              <w:t>absorbția integrală a granturilor și parțială a împrumuturilor astfel:</w:t>
            </w:r>
          </w:p>
          <w:p w14:paraId="3BB2FF0A" w14:textId="77777777" w:rsidR="009545F6" w:rsidRPr="0036044B" w:rsidRDefault="009545F6" w:rsidP="0036044B">
            <w:pPr>
              <w:pStyle w:val="ListaA"/>
              <w:numPr>
                <w:ilvl w:val="1"/>
                <w:numId w:val="21"/>
              </w:numPr>
              <w:spacing w:after="0" w:line="240" w:lineRule="auto"/>
              <w:rPr>
                <w:rFonts w:ascii="Times New Roman" w:hAnsi="Times New Roman" w:cs="Times New Roman"/>
              </w:rPr>
            </w:pPr>
            <w:r w:rsidRPr="0036044B">
              <w:rPr>
                <w:rFonts w:ascii="Times New Roman" w:hAnsi="Times New Roman" w:cs="Times New Roman"/>
              </w:rPr>
              <w:t>utilizarea graduală a granturilor în perioada 2021-2026</w:t>
            </w:r>
          </w:p>
          <w:p w14:paraId="5CEEFF2B" w14:textId="77777777" w:rsidR="009545F6" w:rsidRPr="0036044B" w:rsidRDefault="009545F6" w:rsidP="0036044B">
            <w:pPr>
              <w:pStyle w:val="ListaA"/>
              <w:numPr>
                <w:ilvl w:val="1"/>
                <w:numId w:val="21"/>
              </w:numPr>
              <w:spacing w:after="0" w:line="240" w:lineRule="auto"/>
              <w:rPr>
                <w:rFonts w:ascii="Times New Roman" w:hAnsi="Times New Roman" w:cs="Times New Roman"/>
              </w:rPr>
            </w:pPr>
            <w:r w:rsidRPr="0036044B">
              <w:rPr>
                <w:rFonts w:ascii="Times New Roman" w:hAnsi="Times New Roman" w:cs="Times New Roman"/>
              </w:rPr>
              <w:t>utilizarea graduală a aproximativ 33% din împrumuturi în perioada 2022-2026</w:t>
            </w:r>
          </w:p>
          <w:p w14:paraId="57BFFAF9" w14:textId="77777777" w:rsidR="009545F6" w:rsidRPr="0036044B" w:rsidRDefault="009545F6" w:rsidP="0036044B">
            <w:pPr>
              <w:pStyle w:val="ListaCifreRomane"/>
              <w:numPr>
                <w:ilvl w:val="0"/>
                <w:numId w:val="18"/>
              </w:numPr>
              <w:spacing w:after="0" w:line="240" w:lineRule="auto"/>
              <w:ind w:left="924" w:hanging="357"/>
              <w:rPr>
                <w:rFonts w:ascii="Times New Roman" w:hAnsi="Times New Roman" w:cs="Times New Roman"/>
              </w:rPr>
            </w:pPr>
            <w:r w:rsidRPr="0036044B">
              <w:rPr>
                <w:rFonts w:ascii="Times New Roman" w:hAnsi="Times New Roman" w:cs="Times New Roman"/>
              </w:rPr>
              <w:t xml:space="preserve">absorbția integrală a granturilor fără accesarea împrumuturilor </w:t>
            </w:r>
          </w:p>
          <w:p w14:paraId="43425123" w14:textId="77777777" w:rsidR="009545F6" w:rsidRPr="0036044B" w:rsidRDefault="009545F6" w:rsidP="0036044B">
            <w:pPr>
              <w:pStyle w:val="BodyText"/>
              <w:spacing w:after="0"/>
              <w:jc w:val="both"/>
              <w:rPr>
                <w:lang w:val="ro-RO" w:eastAsia="en-US"/>
              </w:rPr>
            </w:pPr>
          </w:p>
          <w:p w14:paraId="33FD0493" w14:textId="5A9FE5DE" w:rsidR="009545F6" w:rsidRPr="0036044B" w:rsidRDefault="009545F6" w:rsidP="0036044B">
            <w:pPr>
              <w:pStyle w:val="BodyText"/>
              <w:spacing w:after="0"/>
              <w:jc w:val="both"/>
              <w:rPr>
                <w:lang w:val="ro-RO" w:eastAsia="en-US"/>
              </w:rPr>
            </w:pPr>
            <w:r w:rsidRPr="0036044B">
              <w:rPr>
                <w:lang w:val="ro-RO" w:eastAsia="en-US"/>
              </w:rPr>
              <w:t>În toate cele trei scenarii s-a luat în calcul o împărțire a cheltuielilor de capital și a celor curente într-o proporție aproximativă de 3:1.</w:t>
            </w:r>
          </w:p>
          <w:p w14:paraId="3B8DB6AC" w14:textId="77777777" w:rsidR="009545F6" w:rsidRPr="0036044B" w:rsidRDefault="009545F6" w:rsidP="0036044B">
            <w:pPr>
              <w:pStyle w:val="BodyText"/>
              <w:spacing w:after="0"/>
              <w:jc w:val="both"/>
              <w:rPr>
                <w:lang w:val="ro-RO" w:eastAsia="en-US"/>
              </w:rPr>
            </w:pPr>
            <w:r w:rsidRPr="0036044B">
              <w:rPr>
                <w:lang w:val="ro-RO" w:eastAsia="en-US"/>
              </w:rPr>
              <w:t>În perioada de implementare a PNRR se așteaptă un impact pozitiv asupra indicatorilor macroeconomici, generând o creștere economică suplimentară semnificativă pe tot intervalul, față de scenariul de bază fără PNRR (dar cu alte fonduri europene), în toate cele trei scenarii analizate.</w:t>
            </w:r>
          </w:p>
          <w:p w14:paraId="46A5C418" w14:textId="77777777" w:rsidR="009545F6" w:rsidRPr="0036044B" w:rsidRDefault="009545F6" w:rsidP="0036044B">
            <w:pPr>
              <w:pStyle w:val="BodyText"/>
              <w:spacing w:after="0"/>
              <w:jc w:val="both"/>
              <w:rPr>
                <w:lang w:val="ro-RO" w:eastAsia="en-US"/>
              </w:rPr>
            </w:pPr>
            <w:r w:rsidRPr="0036044B">
              <w:rPr>
                <w:lang w:val="ro-RO" w:eastAsia="en-US"/>
              </w:rPr>
              <w:t>Ținând cont de primul scenariu (grad de absorbție 100% atât pentru granturi cât și pentru împrumuturi), în prima parte a intervalului (i.e. anii 2021-2022) impactul exprimat în PIB real este mai puțin pronunțat, întrucât alocarea fondurilor este mai slabă, iar cel mai pronunțat impact asupra creșterii economice (ce se reflectă în PIB real) se înregistrează în anul 2025 (+1,4 puncte procentuale) pe măsură ce alocarea fondurilor se mărește gradual.</w:t>
            </w:r>
            <w:r w:rsidRPr="0036044B">
              <w:rPr>
                <w:lang w:eastAsia="en-US"/>
              </w:rPr>
              <w:t xml:space="preserve"> </w:t>
            </w:r>
            <w:r w:rsidRPr="0036044B">
              <w:rPr>
                <w:lang w:val="ro-RO" w:eastAsia="en-US"/>
              </w:rPr>
              <w:t>În cel de al doilea scenariu, care propune doar utilizarea granturilor, fără ca statul să apeleze la împrumuturile aferente Mecanismului de Redresare și Reziliență, creșterea economică exprimată în PIB real este de 4,3 puncte procentuale pe tot intervalul. Impactul anual cel mai ridicat este în 2023 (comparativ cu scenariul 1 în care diferențialul maxim este în 2025). În cel de al treilea scenariu se înregistrează o creștere a PIB de 3,4 puncte procentuale pe tot intervalul, sugerând că și la un nivel mai redus, impactul economic al împrumuturilor din PNRR rămâne semnificativ.</w:t>
            </w:r>
          </w:p>
          <w:p w14:paraId="60609DDD" w14:textId="77777777" w:rsidR="009545F6" w:rsidRPr="0036044B" w:rsidRDefault="009545F6" w:rsidP="0036044B">
            <w:pPr>
              <w:pStyle w:val="BodyText"/>
              <w:spacing w:after="0"/>
              <w:jc w:val="both"/>
              <w:rPr>
                <w:lang w:val="ro-RO" w:eastAsia="en-US"/>
              </w:rPr>
            </w:pPr>
            <w:r w:rsidRPr="0036044B">
              <w:rPr>
                <w:lang w:val="ro-RO" w:eastAsia="en-US"/>
              </w:rPr>
              <w:t>În primul scenariu, diferențialul aferent consumului final va oscila între 0,4 și 0,9 puncte procentuale în perioada de referință 2022-2026. De asemenea, formarea brută de capital fix va înregistra o creștere exponențială ca urmare a fondurilor semnificative alocate, cu un diferențial ce ajunge până la 5,2 puncte procentuale în 2025. Ca urmare a activităților economice suplimentare generate de PNRR, se estimează un impact pozitiv și asupra principalilor indicatori care caracterizează piața forței de muncă, respectiv populația ocupată, numărul de salariați și rata șomajului, toate determinate conform metodologiei Biroului Internațional al Muncii (BIM). Dacă în scenariul fără PNRR, populația ocupată s-ar majora în intervalul 2021-2026 cu 169,2 mii persoane, în varianta cu PNRR acest surplus de locuri de muncă ajunge la 290 mii persoane. Datorită investițiilor și reformelor din PNRR, pe lângă recuperarea post-pandemie mai rapidă se va genera suplimentar un număr de circa 127 mii locuri de muncă în intervalul 2021-2026. Rata șomajului va scădea de la 4,8% în 2021 la aproximativ 2,8% în 2026, sub rata estimată în scenariul fără PNRR, respectiv 3%. Efectul asupra pieței muncii va fi pozitiv și în scenariile 2 și 3.</w:t>
            </w:r>
          </w:p>
          <w:p w14:paraId="75951C9F" w14:textId="77777777" w:rsidR="009545F6" w:rsidRPr="0036044B" w:rsidRDefault="009545F6" w:rsidP="0036044B">
            <w:pPr>
              <w:pStyle w:val="Title"/>
              <w:spacing w:line="240" w:lineRule="auto"/>
              <w:jc w:val="both"/>
              <w:rPr>
                <w:sz w:val="24"/>
                <w:szCs w:val="24"/>
              </w:rPr>
            </w:pPr>
            <w:r w:rsidRPr="0036044B">
              <w:rPr>
                <w:sz w:val="24"/>
                <w:szCs w:val="24"/>
              </w:rPr>
              <w:t xml:space="preserve">Impactul priorităților PNRR asupra </w:t>
            </w:r>
            <w:proofErr w:type="spellStart"/>
            <w:r w:rsidRPr="0036044B">
              <w:rPr>
                <w:sz w:val="24"/>
                <w:szCs w:val="24"/>
              </w:rPr>
              <w:t>creşterii</w:t>
            </w:r>
            <w:proofErr w:type="spellEnd"/>
            <w:r w:rsidRPr="0036044B">
              <w:rPr>
                <w:sz w:val="24"/>
                <w:szCs w:val="24"/>
              </w:rPr>
              <w:t xml:space="preserve"> PIB</w:t>
            </w:r>
          </w:p>
          <w:p w14:paraId="7477EAD5" w14:textId="77777777" w:rsidR="009545F6" w:rsidRPr="0036044B" w:rsidRDefault="009545F6" w:rsidP="0036044B">
            <w:pPr>
              <w:pStyle w:val="NormalWeb"/>
              <w:shd w:val="clear" w:color="auto" w:fill="FFFFFF"/>
              <w:spacing w:before="0" w:beforeAutospacing="0" w:after="0" w:afterAutospacing="0"/>
              <w:ind w:right="686"/>
              <w:rPr>
                <w:b/>
                <w:bCs/>
              </w:rPr>
            </w:pPr>
          </w:p>
          <w:tbl>
            <w:tblPr>
              <w:tblW w:w="10970" w:type="dxa"/>
              <w:tblBorders>
                <w:top w:val="single" w:sz="18" w:space="0" w:color="auto"/>
                <w:bottom w:val="single" w:sz="18" w:space="0" w:color="auto"/>
              </w:tblBorders>
              <w:tblLook w:val="04A0" w:firstRow="1" w:lastRow="0" w:firstColumn="1" w:lastColumn="0" w:noHBand="0" w:noVBand="1"/>
            </w:tblPr>
            <w:tblGrid>
              <w:gridCol w:w="2097"/>
              <w:gridCol w:w="1721"/>
              <w:gridCol w:w="822"/>
              <w:gridCol w:w="822"/>
              <w:gridCol w:w="822"/>
              <w:gridCol w:w="822"/>
              <w:gridCol w:w="822"/>
              <w:gridCol w:w="822"/>
              <w:gridCol w:w="744"/>
              <w:gridCol w:w="216"/>
              <w:gridCol w:w="607"/>
            </w:tblGrid>
            <w:tr w:rsidR="002B2AD7" w:rsidRPr="0036044B" w14:paraId="232362B0" w14:textId="77777777" w:rsidTr="009545F6">
              <w:trPr>
                <w:gridAfter w:val="1"/>
                <w:wAfter w:w="786" w:type="dxa"/>
                <w:trHeight w:val="330"/>
              </w:trPr>
              <w:tc>
                <w:tcPr>
                  <w:tcW w:w="2246" w:type="dxa"/>
                  <w:tcBorders>
                    <w:top w:val="single" w:sz="18" w:space="0" w:color="auto"/>
                    <w:left w:val="nil"/>
                    <w:bottom w:val="single" w:sz="18" w:space="0" w:color="auto"/>
                    <w:right w:val="nil"/>
                  </w:tcBorders>
                  <w:shd w:val="clear" w:color="auto" w:fill="5B9BD5"/>
                  <w:noWrap/>
                  <w:hideMark/>
                </w:tcPr>
                <w:p w14:paraId="3778DCF3" w14:textId="77777777" w:rsidR="009545F6" w:rsidRPr="0036044B" w:rsidRDefault="009545F6" w:rsidP="0036044B">
                  <w:pPr>
                    <w:rPr>
                      <w:b/>
                      <w:bCs/>
                    </w:rPr>
                  </w:pPr>
                  <w:r w:rsidRPr="0036044B">
                    <w:rPr>
                      <w:b/>
                      <w:bCs/>
                    </w:rPr>
                    <w:t> Prioritatea</w:t>
                  </w:r>
                </w:p>
              </w:tc>
              <w:tc>
                <w:tcPr>
                  <w:tcW w:w="1842" w:type="dxa"/>
                  <w:tcBorders>
                    <w:top w:val="single" w:sz="18" w:space="0" w:color="auto"/>
                    <w:left w:val="nil"/>
                    <w:bottom w:val="single" w:sz="18" w:space="0" w:color="auto"/>
                    <w:right w:val="nil"/>
                  </w:tcBorders>
                  <w:shd w:val="clear" w:color="auto" w:fill="5B9BD5"/>
                  <w:noWrap/>
                  <w:hideMark/>
                </w:tcPr>
                <w:p w14:paraId="32C11B96" w14:textId="77777777" w:rsidR="009545F6" w:rsidRPr="0036044B" w:rsidRDefault="009545F6" w:rsidP="0036044B">
                  <w:pPr>
                    <w:rPr>
                      <w:b/>
                      <w:bCs/>
                    </w:rPr>
                  </w:pPr>
                  <w:r w:rsidRPr="0036044B">
                    <w:rPr>
                      <w:b/>
                      <w:bCs/>
                    </w:rPr>
                    <w:t> </w:t>
                  </w:r>
                </w:p>
              </w:tc>
              <w:tc>
                <w:tcPr>
                  <w:tcW w:w="870" w:type="dxa"/>
                  <w:tcBorders>
                    <w:top w:val="single" w:sz="18" w:space="0" w:color="auto"/>
                    <w:left w:val="nil"/>
                    <w:bottom w:val="single" w:sz="18" w:space="0" w:color="auto"/>
                    <w:right w:val="nil"/>
                  </w:tcBorders>
                  <w:shd w:val="clear" w:color="auto" w:fill="5B9BD5"/>
                  <w:noWrap/>
                  <w:hideMark/>
                </w:tcPr>
                <w:p w14:paraId="354C2402" w14:textId="77777777" w:rsidR="009545F6" w:rsidRPr="0036044B" w:rsidRDefault="009545F6" w:rsidP="0036044B">
                  <w:pPr>
                    <w:rPr>
                      <w:b/>
                      <w:bCs/>
                    </w:rPr>
                  </w:pPr>
                  <w:r w:rsidRPr="0036044B">
                    <w:rPr>
                      <w:b/>
                      <w:bCs/>
                    </w:rPr>
                    <w:t>2021</w:t>
                  </w:r>
                </w:p>
              </w:tc>
              <w:tc>
                <w:tcPr>
                  <w:tcW w:w="871" w:type="dxa"/>
                  <w:tcBorders>
                    <w:top w:val="single" w:sz="18" w:space="0" w:color="auto"/>
                    <w:left w:val="nil"/>
                    <w:bottom w:val="single" w:sz="18" w:space="0" w:color="auto"/>
                    <w:right w:val="nil"/>
                  </w:tcBorders>
                  <w:shd w:val="clear" w:color="auto" w:fill="5B9BD5"/>
                  <w:noWrap/>
                  <w:hideMark/>
                </w:tcPr>
                <w:p w14:paraId="450E2463" w14:textId="77777777" w:rsidR="009545F6" w:rsidRPr="0036044B" w:rsidRDefault="009545F6" w:rsidP="0036044B">
                  <w:pPr>
                    <w:rPr>
                      <w:b/>
                      <w:bCs/>
                    </w:rPr>
                  </w:pPr>
                  <w:r w:rsidRPr="0036044B">
                    <w:rPr>
                      <w:b/>
                      <w:bCs/>
                    </w:rPr>
                    <w:t>2022</w:t>
                  </w:r>
                </w:p>
              </w:tc>
              <w:tc>
                <w:tcPr>
                  <w:tcW w:w="871" w:type="dxa"/>
                  <w:tcBorders>
                    <w:top w:val="single" w:sz="18" w:space="0" w:color="auto"/>
                    <w:left w:val="nil"/>
                    <w:bottom w:val="single" w:sz="18" w:space="0" w:color="auto"/>
                    <w:right w:val="nil"/>
                  </w:tcBorders>
                  <w:shd w:val="clear" w:color="auto" w:fill="5B9BD5"/>
                  <w:noWrap/>
                  <w:hideMark/>
                </w:tcPr>
                <w:p w14:paraId="4A96C4A1" w14:textId="77777777" w:rsidR="009545F6" w:rsidRPr="0036044B" w:rsidRDefault="009545F6" w:rsidP="0036044B">
                  <w:pPr>
                    <w:rPr>
                      <w:b/>
                      <w:bCs/>
                    </w:rPr>
                  </w:pPr>
                  <w:r w:rsidRPr="0036044B">
                    <w:rPr>
                      <w:b/>
                      <w:bCs/>
                    </w:rPr>
                    <w:t>2023</w:t>
                  </w:r>
                </w:p>
              </w:tc>
              <w:tc>
                <w:tcPr>
                  <w:tcW w:w="871" w:type="dxa"/>
                  <w:tcBorders>
                    <w:top w:val="single" w:sz="18" w:space="0" w:color="auto"/>
                    <w:left w:val="nil"/>
                    <w:bottom w:val="single" w:sz="18" w:space="0" w:color="auto"/>
                    <w:right w:val="nil"/>
                  </w:tcBorders>
                  <w:shd w:val="clear" w:color="auto" w:fill="5B9BD5"/>
                  <w:noWrap/>
                  <w:hideMark/>
                </w:tcPr>
                <w:p w14:paraId="15022617" w14:textId="77777777" w:rsidR="009545F6" w:rsidRPr="0036044B" w:rsidRDefault="009545F6" w:rsidP="0036044B">
                  <w:pPr>
                    <w:rPr>
                      <w:b/>
                      <w:bCs/>
                    </w:rPr>
                  </w:pPr>
                  <w:r w:rsidRPr="0036044B">
                    <w:rPr>
                      <w:b/>
                      <w:bCs/>
                    </w:rPr>
                    <w:t>2024</w:t>
                  </w:r>
                </w:p>
              </w:tc>
              <w:tc>
                <w:tcPr>
                  <w:tcW w:w="871" w:type="dxa"/>
                  <w:tcBorders>
                    <w:top w:val="single" w:sz="18" w:space="0" w:color="auto"/>
                    <w:left w:val="nil"/>
                    <w:bottom w:val="single" w:sz="18" w:space="0" w:color="auto"/>
                    <w:right w:val="nil"/>
                  </w:tcBorders>
                  <w:shd w:val="clear" w:color="auto" w:fill="5B9BD5"/>
                  <w:noWrap/>
                  <w:hideMark/>
                </w:tcPr>
                <w:p w14:paraId="0E7BEC6B" w14:textId="77777777" w:rsidR="009545F6" w:rsidRPr="0036044B" w:rsidRDefault="009545F6" w:rsidP="0036044B">
                  <w:pPr>
                    <w:rPr>
                      <w:b/>
                      <w:bCs/>
                    </w:rPr>
                  </w:pPr>
                  <w:r w:rsidRPr="0036044B">
                    <w:rPr>
                      <w:b/>
                      <w:bCs/>
                    </w:rPr>
                    <w:t>2025</w:t>
                  </w:r>
                </w:p>
              </w:tc>
              <w:tc>
                <w:tcPr>
                  <w:tcW w:w="871" w:type="dxa"/>
                  <w:tcBorders>
                    <w:top w:val="single" w:sz="18" w:space="0" w:color="auto"/>
                    <w:left w:val="nil"/>
                    <w:bottom w:val="single" w:sz="18" w:space="0" w:color="auto"/>
                    <w:right w:val="nil"/>
                  </w:tcBorders>
                  <w:shd w:val="clear" w:color="auto" w:fill="5B9BD5"/>
                  <w:noWrap/>
                  <w:hideMark/>
                </w:tcPr>
                <w:p w14:paraId="432970DB" w14:textId="77777777" w:rsidR="009545F6" w:rsidRPr="0036044B" w:rsidRDefault="009545F6" w:rsidP="0036044B">
                  <w:pPr>
                    <w:rPr>
                      <w:b/>
                      <w:bCs/>
                    </w:rPr>
                  </w:pPr>
                  <w:r w:rsidRPr="0036044B">
                    <w:rPr>
                      <w:b/>
                      <w:bCs/>
                    </w:rPr>
                    <w:t>2026</w:t>
                  </w:r>
                </w:p>
              </w:tc>
              <w:tc>
                <w:tcPr>
                  <w:tcW w:w="871" w:type="dxa"/>
                  <w:gridSpan w:val="2"/>
                  <w:tcBorders>
                    <w:top w:val="single" w:sz="18" w:space="0" w:color="auto"/>
                    <w:left w:val="nil"/>
                    <w:bottom w:val="single" w:sz="18" w:space="0" w:color="auto"/>
                    <w:right w:val="nil"/>
                  </w:tcBorders>
                  <w:shd w:val="clear" w:color="auto" w:fill="5B9BD5"/>
                  <w:noWrap/>
                  <w:hideMark/>
                </w:tcPr>
                <w:p w14:paraId="27DB4CF0" w14:textId="77777777" w:rsidR="009545F6" w:rsidRPr="0036044B" w:rsidRDefault="009545F6" w:rsidP="0036044B">
                  <w:pPr>
                    <w:rPr>
                      <w:b/>
                      <w:bCs/>
                    </w:rPr>
                  </w:pPr>
                  <w:r w:rsidRPr="0036044B">
                    <w:rPr>
                      <w:b/>
                      <w:bCs/>
                    </w:rPr>
                    <w:t>Total</w:t>
                  </w:r>
                </w:p>
              </w:tc>
            </w:tr>
            <w:tr w:rsidR="002B2AD7" w:rsidRPr="0036044B" w14:paraId="0222ACDD" w14:textId="77777777" w:rsidTr="009545F6">
              <w:trPr>
                <w:gridAfter w:val="1"/>
                <w:wAfter w:w="786" w:type="dxa"/>
                <w:trHeight w:val="330"/>
              </w:trPr>
              <w:tc>
                <w:tcPr>
                  <w:tcW w:w="2246" w:type="dxa"/>
                  <w:vMerge w:val="restart"/>
                  <w:tcBorders>
                    <w:left w:val="nil"/>
                    <w:bottom w:val="nil"/>
                    <w:right w:val="nil"/>
                  </w:tcBorders>
                  <w:shd w:val="clear" w:color="auto" w:fill="5B9BD5"/>
                  <w:hideMark/>
                </w:tcPr>
                <w:p w14:paraId="1F8DC910" w14:textId="77777777" w:rsidR="009545F6" w:rsidRPr="0036044B" w:rsidRDefault="009545F6" w:rsidP="0036044B">
                  <w:pPr>
                    <w:rPr>
                      <w:b/>
                      <w:bCs/>
                    </w:rPr>
                  </w:pPr>
                  <w:r w:rsidRPr="0036044B">
                    <w:rPr>
                      <w:b/>
                      <w:bCs/>
                    </w:rPr>
                    <w:t>C1 - Managementul apei</w:t>
                  </w:r>
                </w:p>
              </w:tc>
              <w:tc>
                <w:tcPr>
                  <w:tcW w:w="1842" w:type="dxa"/>
                  <w:shd w:val="clear" w:color="auto" w:fill="D8D8D8"/>
                  <w:noWrap/>
                  <w:hideMark/>
                </w:tcPr>
                <w:p w14:paraId="1D673D76" w14:textId="77777777" w:rsidR="009545F6" w:rsidRPr="0036044B" w:rsidRDefault="009545F6" w:rsidP="0036044B">
                  <w:pPr>
                    <w:rPr>
                      <w:bCs/>
                    </w:rPr>
                  </w:pPr>
                  <w:r w:rsidRPr="0036044B">
                    <w:rPr>
                      <w:bCs/>
                    </w:rPr>
                    <w:t>Finanțare mld euro</w:t>
                  </w:r>
                </w:p>
              </w:tc>
              <w:tc>
                <w:tcPr>
                  <w:tcW w:w="870" w:type="dxa"/>
                  <w:shd w:val="clear" w:color="auto" w:fill="D8D8D8"/>
                  <w:noWrap/>
                  <w:hideMark/>
                </w:tcPr>
                <w:p w14:paraId="1CAD98C2" w14:textId="77777777" w:rsidR="009545F6" w:rsidRPr="0036044B" w:rsidRDefault="009545F6" w:rsidP="0036044B">
                  <w:pPr>
                    <w:jc w:val="right"/>
                    <w:rPr>
                      <w:bCs/>
                    </w:rPr>
                  </w:pPr>
                  <w:r w:rsidRPr="0036044B">
                    <w:rPr>
                      <w:bCs/>
                    </w:rPr>
                    <w:t>0.00</w:t>
                  </w:r>
                </w:p>
              </w:tc>
              <w:tc>
                <w:tcPr>
                  <w:tcW w:w="871" w:type="dxa"/>
                  <w:shd w:val="clear" w:color="auto" w:fill="D8D8D8"/>
                  <w:noWrap/>
                  <w:hideMark/>
                </w:tcPr>
                <w:p w14:paraId="4ACA097E" w14:textId="77777777" w:rsidR="009545F6" w:rsidRPr="0036044B" w:rsidRDefault="009545F6" w:rsidP="0036044B">
                  <w:pPr>
                    <w:jc w:val="right"/>
                    <w:rPr>
                      <w:bCs/>
                    </w:rPr>
                  </w:pPr>
                  <w:r w:rsidRPr="0036044B">
                    <w:rPr>
                      <w:bCs/>
                    </w:rPr>
                    <w:t>0.19</w:t>
                  </w:r>
                </w:p>
              </w:tc>
              <w:tc>
                <w:tcPr>
                  <w:tcW w:w="871" w:type="dxa"/>
                  <w:shd w:val="clear" w:color="auto" w:fill="D8D8D8"/>
                  <w:noWrap/>
                  <w:hideMark/>
                </w:tcPr>
                <w:p w14:paraId="43DAF765" w14:textId="77777777" w:rsidR="009545F6" w:rsidRPr="0036044B" w:rsidRDefault="009545F6" w:rsidP="0036044B">
                  <w:pPr>
                    <w:jc w:val="right"/>
                    <w:rPr>
                      <w:bCs/>
                    </w:rPr>
                  </w:pPr>
                  <w:r w:rsidRPr="0036044B">
                    <w:rPr>
                      <w:bCs/>
                    </w:rPr>
                    <w:t>0.32</w:t>
                  </w:r>
                </w:p>
              </w:tc>
              <w:tc>
                <w:tcPr>
                  <w:tcW w:w="871" w:type="dxa"/>
                  <w:shd w:val="clear" w:color="auto" w:fill="D8D8D8"/>
                  <w:noWrap/>
                  <w:hideMark/>
                </w:tcPr>
                <w:p w14:paraId="4251C89D" w14:textId="77777777" w:rsidR="009545F6" w:rsidRPr="0036044B" w:rsidRDefault="009545F6" w:rsidP="0036044B">
                  <w:pPr>
                    <w:jc w:val="right"/>
                    <w:rPr>
                      <w:bCs/>
                    </w:rPr>
                  </w:pPr>
                  <w:r w:rsidRPr="0036044B">
                    <w:rPr>
                      <w:bCs/>
                    </w:rPr>
                    <w:t>0.45</w:t>
                  </w:r>
                </w:p>
              </w:tc>
              <w:tc>
                <w:tcPr>
                  <w:tcW w:w="871" w:type="dxa"/>
                  <w:shd w:val="clear" w:color="auto" w:fill="D8D8D8"/>
                  <w:noWrap/>
                  <w:hideMark/>
                </w:tcPr>
                <w:p w14:paraId="568A1097" w14:textId="77777777" w:rsidR="009545F6" w:rsidRPr="0036044B" w:rsidRDefault="009545F6" w:rsidP="0036044B">
                  <w:pPr>
                    <w:jc w:val="right"/>
                    <w:rPr>
                      <w:bCs/>
                    </w:rPr>
                  </w:pPr>
                  <w:r w:rsidRPr="0036044B">
                    <w:rPr>
                      <w:bCs/>
                    </w:rPr>
                    <w:t>0.45</w:t>
                  </w:r>
                </w:p>
              </w:tc>
              <w:tc>
                <w:tcPr>
                  <w:tcW w:w="871" w:type="dxa"/>
                  <w:shd w:val="clear" w:color="auto" w:fill="D8D8D8"/>
                  <w:noWrap/>
                  <w:hideMark/>
                </w:tcPr>
                <w:p w14:paraId="09AB5DBB" w14:textId="77777777" w:rsidR="009545F6" w:rsidRPr="0036044B" w:rsidRDefault="009545F6" w:rsidP="0036044B">
                  <w:pPr>
                    <w:jc w:val="right"/>
                    <w:rPr>
                      <w:bCs/>
                    </w:rPr>
                  </w:pPr>
                  <w:r w:rsidRPr="0036044B">
                    <w:rPr>
                      <w:bCs/>
                    </w:rPr>
                    <w:t>0.45</w:t>
                  </w:r>
                </w:p>
              </w:tc>
              <w:tc>
                <w:tcPr>
                  <w:tcW w:w="871" w:type="dxa"/>
                  <w:gridSpan w:val="2"/>
                  <w:shd w:val="clear" w:color="auto" w:fill="D8D8D8"/>
                  <w:noWrap/>
                  <w:hideMark/>
                </w:tcPr>
                <w:p w14:paraId="0E377F7E" w14:textId="77777777" w:rsidR="009545F6" w:rsidRPr="0036044B" w:rsidRDefault="009545F6" w:rsidP="0036044B">
                  <w:pPr>
                    <w:jc w:val="center"/>
                    <w:rPr>
                      <w:bCs/>
                    </w:rPr>
                  </w:pPr>
                  <w:r w:rsidRPr="0036044B">
                    <w:rPr>
                      <w:bCs/>
                    </w:rPr>
                    <w:t>1.87</w:t>
                  </w:r>
                </w:p>
              </w:tc>
            </w:tr>
            <w:tr w:rsidR="002B2AD7" w:rsidRPr="0036044B" w14:paraId="2D8B65F3" w14:textId="77777777" w:rsidTr="009545F6">
              <w:trPr>
                <w:gridAfter w:val="1"/>
                <w:wAfter w:w="786" w:type="dxa"/>
                <w:trHeight w:val="330"/>
              </w:trPr>
              <w:tc>
                <w:tcPr>
                  <w:tcW w:w="2246" w:type="dxa"/>
                  <w:vMerge/>
                  <w:tcBorders>
                    <w:left w:val="nil"/>
                    <w:bottom w:val="nil"/>
                    <w:right w:val="nil"/>
                  </w:tcBorders>
                  <w:shd w:val="clear" w:color="auto" w:fill="5B9BD5"/>
                  <w:hideMark/>
                </w:tcPr>
                <w:p w14:paraId="074E5495" w14:textId="77777777" w:rsidR="009545F6" w:rsidRPr="0036044B" w:rsidRDefault="009545F6" w:rsidP="0036044B">
                  <w:pPr>
                    <w:rPr>
                      <w:b/>
                      <w:bCs/>
                    </w:rPr>
                  </w:pPr>
                </w:p>
              </w:tc>
              <w:tc>
                <w:tcPr>
                  <w:tcW w:w="1842" w:type="dxa"/>
                  <w:shd w:val="clear" w:color="auto" w:fill="auto"/>
                  <w:noWrap/>
                  <w:hideMark/>
                </w:tcPr>
                <w:p w14:paraId="630F97BE" w14:textId="77777777" w:rsidR="009545F6" w:rsidRPr="0036044B" w:rsidRDefault="009545F6" w:rsidP="0036044B">
                  <w:pPr>
                    <w:rPr>
                      <w:bCs/>
                    </w:rPr>
                  </w:pPr>
                  <w:r w:rsidRPr="0036044B">
                    <w:rPr>
                      <w:bCs/>
                    </w:rPr>
                    <w:t>Impact cumulat %</w:t>
                  </w:r>
                </w:p>
              </w:tc>
              <w:tc>
                <w:tcPr>
                  <w:tcW w:w="870" w:type="dxa"/>
                  <w:shd w:val="clear" w:color="auto" w:fill="auto"/>
                  <w:noWrap/>
                  <w:hideMark/>
                </w:tcPr>
                <w:p w14:paraId="683D4D05" w14:textId="77777777" w:rsidR="009545F6" w:rsidRPr="0036044B" w:rsidRDefault="009545F6" w:rsidP="0036044B">
                  <w:pPr>
                    <w:jc w:val="right"/>
                    <w:rPr>
                      <w:bCs/>
                    </w:rPr>
                  </w:pPr>
                  <w:r w:rsidRPr="0036044B">
                    <w:rPr>
                      <w:bCs/>
                    </w:rPr>
                    <w:t>0.0%</w:t>
                  </w:r>
                </w:p>
              </w:tc>
              <w:tc>
                <w:tcPr>
                  <w:tcW w:w="871" w:type="dxa"/>
                  <w:shd w:val="clear" w:color="auto" w:fill="auto"/>
                  <w:noWrap/>
                  <w:hideMark/>
                </w:tcPr>
                <w:p w14:paraId="12C0B726" w14:textId="77777777" w:rsidR="009545F6" w:rsidRPr="0036044B" w:rsidRDefault="009545F6" w:rsidP="0036044B">
                  <w:pPr>
                    <w:jc w:val="right"/>
                    <w:rPr>
                      <w:bCs/>
                    </w:rPr>
                  </w:pPr>
                  <w:r w:rsidRPr="0036044B">
                    <w:rPr>
                      <w:bCs/>
                    </w:rPr>
                    <w:t>0.0%</w:t>
                  </w:r>
                </w:p>
              </w:tc>
              <w:tc>
                <w:tcPr>
                  <w:tcW w:w="871" w:type="dxa"/>
                  <w:shd w:val="clear" w:color="auto" w:fill="auto"/>
                  <w:noWrap/>
                  <w:hideMark/>
                </w:tcPr>
                <w:p w14:paraId="063EE9BA" w14:textId="77777777" w:rsidR="009545F6" w:rsidRPr="0036044B" w:rsidRDefault="009545F6" w:rsidP="0036044B">
                  <w:pPr>
                    <w:jc w:val="right"/>
                    <w:rPr>
                      <w:bCs/>
                    </w:rPr>
                  </w:pPr>
                  <w:r w:rsidRPr="0036044B">
                    <w:rPr>
                      <w:bCs/>
                    </w:rPr>
                    <w:t>0.1%</w:t>
                  </w:r>
                </w:p>
              </w:tc>
              <w:tc>
                <w:tcPr>
                  <w:tcW w:w="871" w:type="dxa"/>
                  <w:shd w:val="clear" w:color="auto" w:fill="auto"/>
                  <w:noWrap/>
                  <w:hideMark/>
                </w:tcPr>
                <w:p w14:paraId="36992B89" w14:textId="77777777" w:rsidR="009545F6" w:rsidRPr="0036044B" w:rsidRDefault="009545F6" w:rsidP="0036044B">
                  <w:pPr>
                    <w:jc w:val="right"/>
                    <w:rPr>
                      <w:bCs/>
                    </w:rPr>
                  </w:pPr>
                  <w:r w:rsidRPr="0036044B">
                    <w:rPr>
                      <w:bCs/>
                    </w:rPr>
                    <w:t>0.2%</w:t>
                  </w:r>
                </w:p>
              </w:tc>
              <w:tc>
                <w:tcPr>
                  <w:tcW w:w="871" w:type="dxa"/>
                  <w:shd w:val="clear" w:color="auto" w:fill="auto"/>
                  <w:noWrap/>
                  <w:hideMark/>
                </w:tcPr>
                <w:p w14:paraId="2D27EBA1" w14:textId="77777777" w:rsidR="009545F6" w:rsidRPr="0036044B" w:rsidRDefault="009545F6" w:rsidP="0036044B">
                  <w:pPr>
                    <w:jc w:val="right"/>
                    <w:rPr>
                      <w:bCs/>
                    </w:rPr>
                  </w:pPr>
                  <w:r w:rsidRPr="0036044B">
                    <w:rPr>
                      <w:bCs/>
                    </w:rPr>
                    <w:t>0.3%</w:t>
                  </w:r>
                </w:p>
              </w:tc>
              <w:tc>
                <w:tcPr>
                  <w:tcW w:w="871" w:type="dxa"/>
                  <w:shd w:val="clear" w:color="auto" w:fill="auto"/>
                  <w:noWrap/>
                  <w:hideMark/>
                </w:tcPr>
                <w:p w14:paraId="6F87568D" w14:textId="77777777" w:rsidR="009545F6" w:rsidRPr="0036044B" w:rsidRDefault="009545F6" w:rsidP="0036044B">
                  <w:pPr>
                    <w:jc w:val="right"/>
                    <w:rPr>
                      <w:bCs/>
                    </w:rPr>
                  </w:pPr>
                  <w:r w:rsidRPr="0036044B">
                    <w:rPr>
                      <w:bCs/>
                    </w:rPr>
                    <w:t>0.3%</w:t>
                  </w:r>
                </w:p>
              </w:tc>
              <w:tc>
                <w:tcPr>
                  <w:tcW w:w="871" w:type="dxa"/>
                  <w:gridSpan w:val="2"/>
                  <w:shd w:val="clear" w:color="auto" w:fill="auto"/>
                  <w:noWrap/>
                  <w:hideMark/>
                </w:tcPr>
                <w:p w14:paraId="361061F9" w14:textId="77777777" w:rsidR="009545F6" w:rsidRPr="0036044B" w:rsidRDefault="009545F6" w:rsidP="0036044B">
                  <w:pPr>
                    <w:jc w:val="center"/>
                    <w:rPr>
                      <w:bCs/>
                    </w:rPr>
                  </w:pPr>
                  <w:r w:rsidRPr="0036044B">
                    <w:rPr>
                      <w:bCs/>
                    </w:rPr>
                    <w:t> </w:t>
                  </w:r>
                </w:p>
              </w:tc>
            </w:tr>
            <w:tr w:rsidR="002B2AD7" w:rsidRPr="0036044B" w14:paraId="21EE5EAE" w14:textId="77777777" w:rsidTr="009545F6">
              <w:trPr>
                <w:gridAfter w:val="1"/>
                <w:wAfter w:w="786" w:type="dxa"/>
                <w:trHeight w:val="315"/>
              </w:trPr>
              <w:tc>
                <w:tcPr>
                  <w:tcW w:w="2246" w:type="dxa"/>
                  <w:tcBorders>
                    <w:left w:val="nil"/>
                    <w:bottom w:val="nil"/>
                    <w:right w:val="nil"/>
                  </w:tcBorders>
                  <w:shd w:val="clear" w:color="auto" w:fill="5B9BD5"/>
                  <w:hideMark/>
                </w:tcPr>
                <w:p w14:paraId="57D2E29C" w14:textId="77777777" w:rsidR="009545F6" w:rsidRPr="0036044B" w:rsidRDefault="009545F6" w:rsidP="0036044B">
                  <w:pPr>
                    <w:rPr>
                      <w:b/>
                      <w:bCs/>
                    </w:rPr>
                  </w:pPr>
                </w:p>
              </w:tc>
              <w:tc>
                <w:tcPr>
                  <w:tcW w:w="1842" w:type="dxa"/>
                  <w:shd w:val="clear" w:color="auto" w:fill="D8D8D8"/>
                  <w:noWrap/>
                  <w:hideMark/>
                </w:tcPr>
                <w:p w14:paraId="504C5183" w14:textId="77777777" w:rsidR="009545F6" w:rsidRPr="0036044B" w:rsidRDefault="009545F6" w:rsidP="0036044B">
                  <w:pPr>
                    <w:rPr>
                      <w:rFonts w:eastAsia="Calibri"/>
                    </w:rPr>
                  </w:pPr>
                </w:p>
              </w:tc>
              <w:tc>
                <w:tcPr>
                  <w:tcW w:w="870" w:type="dxa"/>
                  <w:shd w:val="clear" w:color="auto" w:fill="D8D8D8"/>
                  <w:noWrap/>
                  <w:hideMark/>
                </w:tcPr>
                <w:p w14:paraId="1ADFFC70" w14:textId="77777777" w:rsidR="009545F6" w:rsidRPr="0036044B" w:rsidRDefault="009545F6" w:rsidP="0036044B">
                  <w:pPr>
                    <w:rPr>
                      <w:rFonts w:eastAsia="Calibri"/>
                    </w:rPr>
                  </w:pPr>
                </w:p>
              </w:tc>
              <w:tc>
                <w:tcPr>
                  <w:tcW w:w="871" w:type="dxa"/>
                  <w:shd w:val="clear" w:color="auto" w:fill="D8D8D8"/>
                  <w:noWrap/>
                  <w:hideMark/>
                </w:tcPr>
                <w:p w14:paraId="1DE4131B" w14:textId="77777777" w:rsidR="009545F6" w:rsidRPr="0036044B" w:rsidRDefault="009545F6" w:rsidP="0036044B">
                  <w:pPr>
                    <w:rPr>
                      <w:rFonts w:eastAsia="Calibri"/>
                    </w:rPr>
                  </w:pPr>
                </w:p>
              </w:tc>
              <w:tc>
                <w:tcPr>
                  <w:tcW w:w="871" w:type="dxa"/>
                  <w:shd w:val="clear" w:color="auto" w:fill="D8D8D8"/>
                  <w:noWrap/>
                  <w:hideMark/>
                </w:tcPr>
                <w:p w14:paraId="51BDB20C" w14:textId="77777777" w:rsidR="009545F6" w:rsidRPr="0036044B" w:rsidRDefault="009545F6" w:rsidP="0036044B">
                  <w:pPr>
                    <w:rPr>
                      <w:rFonts w:eastAsia="Calibri"/>
                    </w:rPr>
                  </w:pPr>
                </w:p>
              </w:tc>
              <w:tc>
                <w:tcPr>
                  <w:tcW w:w="871" w:type="dxa"/>
                  <w:shd w:val="clear" w:color="auto" w:fill="D8D8D8"/>
                  <w:noWrap/>
                  <w:hideMark/>
                </w:tcPr>
                <w:p w14:paraId="75645BE2" w14:textId="77777777" w:rsidR="009545F6" w:rsidRPr="0036044B" w:rsidRDefault="009545F6" w:rsidP="0036044B">
                  <w:pPr>
                    <w:rPr>
                      <w:rFonts w:eastAsia="Calibri"/>
                    </w:rPr>
                  </w:pPr>
                </w:p>
              </w:tc>
              <w:tc>
                <w:tcPr>
                  <w:tcW w:w="871" w:type="dxa"/>
                  <w:shd w:val="clear" w:color="auto" w:fill="D8D8D8"/>
                  <w:noWrap/>
                  <w:hideMark/>
                </w:tcPr>
                <w:p w14:paraId="2625F207" w14:textId="77777777" w:rsidR="009545F6" w:rsidRPr="0036044B" w:rsidRDefault="009545F6" w:rsidP="0036044B">
                  <w:pPr>
                    <w:rPr>
                      <w:rFonts w:eastAsia="Calibri"/>
                    </w:rPr>
                  </w:pPr>
                </w:p>
              </w:tc>
              <w:tc>
                <w:tcPr>
                  <w:tcW w:w="871" w:type="dxa"/>
                  <w:shd w:val="clear" w:color="auto" w:fill="D8D8D8"/>
                  <w:noWrap/>
                  <w:hideMark/>
                </w:tcPr>
                <w:p w14:paraId="18C2B303" w14:textId="77777777" w:rsidR="009545F6" w:rsidRPr="0036044B" w:rsidRDefault="009545F6" w:rsidP="0036044B">
                  <w:pPr>
                    <w:rPr>
                      <w:rFonts w:eastAsia="Calibri"/>
                    </w:rPr>
                  </w:pPr>
                </w:p>
              </w:tc>
              <w:tc>
                <w:tcPr>
                  <w:tcW w:w="871" w:type="dxa"/>
                  <w:gridSpan w:val="2"/>
                  <w:shd w:val="clear" w:color="auto" w:fill="D8D8D8"/>
                  <w:noWrap/>
                  <w:hideMark/>
                </w:tcPr>
                <w:p w14:paraId="005A43F9" w14:textId="77777777" w:rsidR="009545F6" w:rsidRPr="0036044B" w:rsidRDefault="009545F6" w:rsidP="0036044B">
                  <w:pPr>
                    <w:rPr>
                      <w:rFonts w:eastAsia="Calibri"/>
                    </w:rPr>
                  </w:pPr>
                </w:p>
              </w:tc>
            </w:tr>
            <w:tr w:rsidR="002B2AD7" w:rsidRPr="0036044B" w14:paraId="7845B6A3" w14:textId="77777777" w:rsidTr="009545F6">
              <w:trPr>
                <w:gridAfter w:val="1"/>
                <w:wAfter w:w="786" w:type="dxa"/>
                <w:trHeight w:val="330"/>
              </w:trPr>
              <w:tc>
                <w:tcPr>
                  <w:tcW w:w="2246" w:type="dxa"/>
                  <w:vMerge w:val="restart"/>
                  <w:tcBorders>
                    <w:left w:val="nil"/>
                    <w:bottom w:val="nil"/>
                    <w:right w:val="nil"/>
                  </w:tcBorders>
                  <w:shd w:val="clear" w:color="auto" w:fill="5B9BD5"/>
                  <w:hideMark/>
                </w:tcPr>
                <w:p w14:paraId="50B30E08" w14:textId="77777777" w:rsidR="009545F6" w:rsidRPr="0036044B" w:rsidRDefault="009545F6" w:rsidP="0036044B">
                  <w:pPr>
                    <w:rPr>
                      <w:b/>
                      <w:bCs/>
                    </w:rPr>
                  </w:pPr>
                  <w:r w:rsidRPr="0036044B">
                    <w:rPr>
                      <w:b/>
                      <w:bCs/>
                    </w:rPr>
                    <w:t>C2 – Păduri și protecția biodiversității</w:t>
                  </w:r>
                </w:p>
              </w:tc>
              <w:tc>
                <w:tcPr>
                  <w:tcW w:w="1842" w:type="dxa"/>
                  <w:shd w:val="clear" w:color="auto" w:fill="auto"/>
                  <w:noWrap/>
                  <w:hideMark/>
                </w:tcPr>
                <w:p w14:paraId="002E2273" w14:textId="77777777" w:rsidR="009545F6" w:rsidRPr="0036044B" w:rsidRDefault="009545F6" w:rsidP="0036044B">
                  <w:pPr>
                    <w:rPr>
                      <w:bCs/>
                    </w:rPr>
                  </w:pPr>
                  <w:r w:rsidRPr="0036044B">
                    <w:rPr>
                      <w:bCs/>
                    </w:rPr>
                    <w:t>Finanțare mld euro</w:t>
                  </w:r>
                </w:p>
              </w:tc>
              <w:tc>
                <w:tcPr>
                  <w:tcW w:w="870" w:type="dxa"/>
                  <w:shd w:val="clear" w:color="auto" w:fill="auto"/>
                  <w:noWrap/>
                  <w:hideMark/>
                </w:tcPr>
                <w:p w14:paraId="04EC4B94" w14:textId="77777777" w:rsidR="009545F6" w:rsidRPr="0036044B" w:rsidRDefault="009545F6" w:rsidP="0036044B">
                  <w:pPr>
                    <w:jc w:val="right"/>
                    <w:rPr>
                      <w:bCs/>
                    </w:rPr>
                  </w:pPr>
                  <w:r w:rsidRPr="0036044B">
                    <w:rPr>
                      <w:bCs/>
                    </w:rPr>
                    <w:t>0.00</w:t>
                  </w:r>
                </w:p>
              </w:tc>
              <w:tc>
                <w:tcPr>
                  <w:tcW w:w="871" w:type="dxa"/>
                  <w:shd w:val="clear" w:color="auto" w:fill="auto"/>
                  <w:noWrap/>
                  <w:hideMark/>
                </w:tcPr>
                <w:p w14:paraId="781C3046" w14:textId="77777777" w:rsidR="009545F6" w:rsidRPr="0036044B" w:rsidRDefault="009545F6" w:rsidP="0036044B">
                  <w:pPr>
                    <w:jc w:val="right"/>
                    <w:rPr>
                      <w:bCs/>
                    </w:rPr>
                  </w:pPr>
                  <w:r w:rsidRPr="0036044B">
                    <w:rPr>
                      <w:bCs/>
                    </w:rPr>
                    <w:t>0.09</w:t>
                  </w:r>
                </w:p>
              </w:tc>
              <w:tc>
                <w:tcPr>
                  <w:tcW w:w="871" w:type="dxa"/>
                  <w:shd w:val="clear" w:color="auto" w:fill="auto"/>
                  <w:noWrap/>
                  <w:hideMark/>
                </w:tcPr>
                <w:p w14:paraId="6C74EEE4" w14:textId="77777777" w:rsidR="009545F6" w:rsidRPr="0036044B" w:rsidRDefault="009545F6" w:rsidP="0036044B">
                  <w:pPr>
                    <w:jc w:val="right"/>
                    <w:rPr>
                      <w:bCs/>
                    </w:rPr>
                  </w:pPr>
                  <w:r w:rsidRPr="0036044B">
                    <w:rPr>
                      <w:bCs/>
                    </w:rPr>
                    <w:t>0.30</w:t>
                  </w:r>
                </w:p>
              </w:tc>
              <w:tc>
                <w:tcPr>
                  <w:tcW w:w="871" w:type="dxa"/>
                  <w:shd w:val="clear" w:color="auto" w:fill="auto"/>
                  <w:noWrap/>
                  <w:hideMark/>
                </w:tcPr>
                <w:p w14:paraId="5CFD8575" w14:textId="77777777" w:rsidR="009545F6" w:rsidRPr="0036044B" w:rsidRDefault="009545F6" w:rsidP="0036044B">
                  <w:pPr>
                    <w:jc w:val="right"/>
                    <w:rPr>
                      <w:bCs/>
                    </w:rPr>
                  </w:pPr>
                  <w:r w:rsidRPr="0036044B">
                    <w:rPr>
                      <w:bCs/>
                    </w:rPr>
                    <w:t>0.31</w:t>
                  </w:r>
                </w:p>
              </w:tc>
              <w:tc>
                <w:tcPr>
                  <w:tcW w:w="871" w:type="dxa"/>
                  <w:shd w:val="clear" w:color="auto" w:fill="auto"/>
                  <w:noWrap/>
                  <w:hideMark/>
                </w:tcPr>
                <w:p w14:paraId="04F5B140" w14:textId="77777777" w:rsidR="009545F6" w:rsidRPr="0036044B" w:rsidRDefault="009545F6" w:rsidP="0036044B">
                  <w:pPr>
                    <w:jc w:val="right"/>
                    <w:rPr>
                      <w:bCs/>
                    </w:rPr>
                  </w:pPr>
                  <w:r w:rsidRPr="0036044B">
                    <w:rPr>
                      <w:bCs/>
                    </w:rPr>
                    <w:t>0.42</w:t>
                  </w:r>
                </w:p>
              </w:tc>
              <w:tc>
                <w:tcPr>
                  <w:tcW w:w="871" w:type="dxa"/>
                  <w:shd w:val="clear" w:color="auto" w:fill="auto"/>
                  <w:noWrap/>
                  <w:hideMark/>
                </w:tcPr>
                <w:p w14:paraId="609D8C43" w14:textId="77777777" w:rsidR="009545F6" w:rsidRPr="0036044B" w:rsidRDefault="009545F6" w:rsidP="0036044B">
                  <w:pPr>
                    <w:jc w:val="right"/>
                    <w:rPr>
                      <w:bCs/>
                    </w:rPr>
                  </w:pPr>
                  <w:r w:rsidRPr="0036044B">
                    <w:rPr>
                      <w:bCs/>
                    </w:rPr>
                    <w:t>0.24</w:t>
                  </w:r>
                </w:p>
              </w:tc>
              <w:tc>
                <w:tcPr>
                  <w:tcW w:w="871" w:type="dxa"/>
                  <w:gridSpan w:val="2"/>
                  <w:shd w:val="clear" w:color="auto" w:fill="auto"/>
                  <w:noWrap/>
                  <w:hideMark/>
                </w:tcPr>
                <w:p w14:paraId="171AC008" w14:textId="77777777" w:rsidR="009545F6" w:rsidRPr="0036044B" w:rsidRDefault="009545F6" w:rsidP="0036044B">
                  <w:pPr>
                    <w:jc w:val="center"/>
                    <w:rPr>
                      <w:bCs/>
                    </w:rPr>
                  </w:pPr>
                  <w:r w:rsidRPr="0036044B">
                    <w:rPr>
                      <w:bCs/>
                    </w:rPr>
                    <w:t>1.35</w:t>
                  </w:r>
                </w:p>
              </w:tc>
            </w:tr>
            <w:tr w:rsidR="002B2AD7" w:rsidRPr="0036044B" w14:paraId="7936FE2A" w14:textId="77777777" w:rsidTr="009545F6">
              <w:trPr>
                <w:gridAfter w:val="1"/>
                <w:wAfter w:w="786" w:type="dxa"/>
                <w:trHeight w:val="330"/>
              </w:trPr>
              <w:tc>
                <w:tcPr>
                  <w:tcW w:w="2246" w:type="dxa"/>
                  <w:vMerge/>
                  <w:tcBorders>
                    <w:left w:val="nil"/>
                    <w:bottom w:val="nil"/>
                    <w:right w:val="nil"/>
                  </w:tcBorders>
                  <w:shd w:val="clear" w:color="auto" w:fill="5B9BD5"/>
                  <w:hideMark/>
                </w:tcPr>
                <w:p w14:paraId="257C9336" w14:textId="77777777" w:rsidR="009545F6" w:rsidRPr="0036044B" w:rsidRDefault="009545F6" w:rsidP="0036044B">
                  <w:pPr>
                    <w:rPr>
                      <w:b/>
                      <w:bCs/>
                    </w:rPr>
                  </w:pPr>
                </w:p>
              </w:tc>
              <w:tc>
                <w:tcPr>
                  <w:tcW w:w="1842" w:type="dxa"/>
                  <w:shd w:val="clear" w:color="auto" w:fill="D8D8D8"/>
                  <w:noWrap/>
                  <w:hideMark/>
                </w:tcPr>
                <w:p w14:paraId="37284C2B" w14:textId="77777777" w:rsidR="009545F6" w:rsidRPr="0036044B" w:rsidRDefault="009545F6" w:rsidP="0036044B">
                  <w:pPr>
                    <w:rPr>
                      <w:bCs/>
                    </w:rPr>
                  </w:pPr>
                  <w:r w:rsidRPr="0036044B">
                    <w:rPr>
                      <w:bCs/>
                    </w:rPr>
                    <w:t>Impact cumulat %</w:t>
                  </w:r>
                </w:p>
              </w:tc>
              <w:tc>
                <w:tcPr>
                  <w:tcW w:w="870" w:type="dxa"/>
                  <w:shd w:val="clear" w:color="auto" w:fill="D8D8D8"/>
                  <w:noWrap/>
                  <w:hideMark/>
                </w:tcPr>
                <w:p w14:paraId="1FFEE763" w14:textId="77777777" w:rsidR="009545F6" w:rsidRPr="0036044B" w:rsidRDefault="009545F6" w:rsidP="0036044B">
                  <w:pPr>
                    <w:jc w:val="right"/>
                    <w:rPr>
                      <w:bCs/>
                    </w:rPr>
                  </w:pPr>
                  <w:r w:rsidRPr="0036044B">
                    <w:rPr>
                      <w:bCs/>
                    </w:rPr>
                    <w:t>0.0%</w:t>
                  </w:r>
                </w:p>
              </w:tc>
              <w:tc>
                <w:tcPr>
                  <w:tcW w:w="871" w:type="dxa"/>
                  <w:shd w:val="clear" w:color="auto" w:fill="D8D8D8"/>
                  <w:noWrap/>
                  <w:hideMark/>
                </w:tcPr>
                <w:p w14:paraId="10FF8BAC" w14:textId="77777777" w:rsidR="009545F6" w:rsidRPr="0036044B" w:rsidRDefault="009545F6" w:rsidP="0036044B">
                  <w:pPr>
                    <w:jc w:val="right"/>
                    <w:rPr>
                      <w:bCs/>
                    </w:rPr>
                  </w:pPr>
                  <w:r w:rsidRPr="0036044B">
                    <w:rPr>
                      <w:bCs/>
                    </w:rPr>
                    <w:t>0.0%</w:t>
                  </w:r>
                </w:p>
              </w:tc>
              <w:tc>
                <w:tcPr>
                  <w:tcW w:w="871" w:type="dxa"/>
                  <w:shd w:val="clear" w:color="auto" w:fill="D8D8D8"/>
                  <w:noWrap/>
                  <w:hideMark/>
                </w:tcPr>
                <w:p w14:paraId="369DFCA2" w14:textId="77777777" w:rsidR="009545F6" w:rsidRPr="0036044B" w:rsidRDefault="009545F6" w:rsidP="0036044B">
                  <w:pPr>
                    <w:jc w:val="right"/>
                    <w:rPr>
                      <w:bCs/>
                    </w:rPr>
                  </w:pPr>
                  <w:r w:rsidRPr="0036044B">
                    <w:rPr>
                      <w:bCs/>
                    </w:rPr>
                    <w:t>0.1%</w:t>
                  </w:r>
                </w:p>
              </w:tc>
              <w:tc>
                <w:tcPr>
                  <w:tcW w:w="871" w:type="dxa"/>
                  <w:shd w:val="clear" w:color="auto" w:fill="D8D8D8"/>
                  <w:noWrap/>
                  <w:hideMark/>
                </w:tcPr>
                <w:p w14:paraId="65F1A0B3" w14:textId="77777777" w:rsidR="009545F6" w:rsidRPr="0036044B" w:rsidRDefault="009545F6" w:rsidP="0036044B">
                  <w:pPr>
                    <w:jc w:val="right"/>
                    <w:rPr>
                      <w:bCs/>
                    </w:rPr>
                  </w:pPr>
                  <w:r w:rsidRPr="0036044B">
                    <w:rPr>
                      <w:bCs/>
                    </w:rPr>
                    <w:t>0.1%</w:t>
                  </w:r>
                </w:p>
              </w:tc>
              <w:tc>
                <w:tcPr>
                  <w:tcW w:w="871" w:type="dxa"/>
                  <w:shd w:val="clear" w:color="auto" w:fill="D8D8D8"/>
                  <w:noWrap/>
                  <w:hideMark/>
                </w:tcPr>
                <w:p w14:paraId="01AEE8AB" w14:textId="77777777" w:rsidR="009545F6" w:rsidRPr="0036044B" w:rsidRDefault="009545F6" w:rsidP="0036044B">
                  <w:pPr>
                    <w:jc w:val="right"/>
                    <w:rPr>
                      <w:bCs/>
                    </w:rPr>
                  </w:pPr>
                  <w:r w:rsidRPr="0036044B">
                    <w:rPr>
                      <w:bCs/>
                    </w:rPr>
                    <w:t>0.2%</w:t>
                  </w:r>
                </w:p>
              </w:tc>
              <w:tc>
                <w:tcPr>
                  <w:tcW w:w="871" w:type="dxa"/>
                  <w:shd w:val="clear" w:color="auto" w:fill="D8D8D8"/>
                  <w:noWrap/>
                  <w:hideMark/>
                </w:tcPr>
                <w:p w14:paraId="2E20A258" w14:textId="77777777" w:rsidR="009545F6" w:rsidRPr="0036044B" w:rsidRDefault="009545F6" w:rsidP="0036044B">
                  <w:pPr>
                    <w:jc w:val="right"/>
                    <w:rPr>
                      <w:bCs/>
                    </w:rPr>
                  </w:pPr>
                  <w:r w:rsidRPr="0036044B">
                    <w:rPr>
                      <w:bCs/>
                    </w:rPr>
                    <w:t>0.2%</w:t>
                  </w:r>
                </w:p>
              </w:tc>
              <w:tc>
                <w:tcPr>
                  <w:tcW w:w="871" w:type="dxa"/>
                  <w:gridSpan w:val="2"/>
                  <w:shd w:val="clear" w:color="auto" w:fill="D8D8D8"/>
                  <w:noWrap/>
                  <w:hideMark/>
                </w:tcPr>
                <w:p w14:paraId="3500C29E" w14:textId="77777777" w:rsidR="009545F6" w:rsidRPr="0036044B" w:rsidRDefault="009545F6" w:rsidP="0036044B">
                  <w:pPr>
                    <w:jc w:val="center"/>
                    <w:rPr>
                      <w:bCs/>
                    </w:rPr>
                  </w:pPr>
                  <w:r w:rsidRPr="0036044B">
                    <w:rPr>
                      <w:bCs/>
                    </w:rPr>
                    <w:t> </w:t>
                  </w:r>
                </w:p>
              </w:tc>
            </w:tr>
            <w:tr w:rsidR="002B2AD7" w:rsidRPr="0036044B" w14:paraId="72BE3858" w14:textId="77777777" w:rsidTr="009545F6">
              <w:trPr>
                <w:gridAfter w:val="1"/>
                <w:wAfter w:w="786" w:type="dxa"/>
                <w:trHeight w:val="315"/>
              </w:trPr>
              <w:tc>
                <w:tcPr>
                  <w:tcW w:w="2246" w:type="dxa"/>
                  <w:tcBorders>
                    <w:left w:val="nil"/>
                    <w:bottom w:val="nil"/>
                    <w:right w:val="nil"/>
                  </w:tcBorders>
                  <w:shd w:val="clear" w:color="auto" w:fill="5B9BD5"/>
                  <w:hideMark/>
                </w:tcPr>
                <w:p w14:paraId="4DC17822" w14:textId="77777777" w:rsidR="009545F6" w:rsidRPr="0036044B" w:rsidRDefault="009545F6" w:rsidP="0036044B">
                  <w:pPr>
                    <w:rPr>
                      <w:b/>
                      <w:bCs/>
                    </w:rPr>
                  </w:pPr>
                </w:p>
              </w:tc>
              <w:tc>
                <w:tcPr>
                  <w:tcW w:w="1842" w:type="dxa"/>
                  <w:shd w:val="clear" w:color="auto" w:fill="auto"/>
                  <w:noWrap/>
                  <w:hideMark/>
                </w:tcPr>
                <w:p w14:paraId="122A9954" w14:textId="77777777" w:rsidR="009545F6" w:rsidRPr="0036044B" w:rsidRDefault="009545F6" w:rsidP="0036044B">
                  <w:pPr>
                    <w:rPr>
                      <w:rFonts w:eastAsia="Calibri"/>
                    </w:rPr>
                  </w:pPr>
                </w:p>
              </w:tc>
              <w:tc>
                <w:tcPr>
                  <w:tcW w:w="870" w:type="dxa"/>
                  <w:shd w:val="clear" w:color="auto" w:fill="auto"/>
                  <w:noWrap/>
                  <w:hideMark/>
                </w:tcPr>
                <w:p w14:paraId="0748F15A" w14:textId="77777777" w:rsidR="009545F6" w:rsidRPr="0036044B" w:rsidRDefault="009545F6" w:rsidP="0036044B">
                  <w:pPr>
                    <w:rPr>
                      <w:rFonts w:eastAsia="Calibri"/>
                    </w:rPr>
                  </w:pPr>
                </w:p>
              </w:tc>
              <w:tc>
                <w:tcPr>
                  <w:tcW w:w="871" w:type="dxa"/>
                  <w:shd w:val="clear" w:color="auto" w:fill="auto"/>
                  <w:noWrap/>
                  <w:hideMark/>
                </w:tcPr>
                <w:p w14:paraId="145FC843" w14:textId="77777777" w:rsidR="009545F6" w:rsidRPr="0036044B" w:rsidRDefault="009545F6" w:rsidP="0036044B">
                  <w:pPr>
                    <w:rPr>
                      <w:rFonts w:eastAsia="Calibri"/>
                    </w:rPr>
                  </w:pPr>
                </w:p>
              </w:tc>
              <w:tc>
                <w:tcPr>
                  <w:tcW w:w="871" w:type="dxa"/>
                  <w:shd w:val="clear" w:color="auto" w:fill="auto"/>
                  <w:noWrap/>
                  <w:hideMark/>
                </w:tcPr>
                <w:p w14:paraId="39927F84" w14:textId="77777777" w:rsidR="009545F6" w:rsidRPr="0036044B" w:rsidRDefault="009545F6" w:rsidP="0036044B">
                  <w:pPr>
                    <w:rPr>
                      <w:rFonts w:eastAsia="Calibri"/>
                    </w:rPr>
                  </w:pPr>
                </w:p>
              </w:tc>
              <w:tc>
                <w:tcPr>
                  <w:tcW w:w="871" w:type="dxa"/>
                  <w:shd w:val="clear" w:color="auto" w:fill="auto"/>
                  <w:noWrap/>
                  <w:hideMark/>
                </w:tcPr>
                <w:p w14:paraId="4432C83D" w14:textId="77777777" w:rsidR="009545F6" w:rsidRPr="0036044B" w:rsidRDefault="009545F6" w:rsidP="0036044B">
                  <w:pPr>
                    <w:rPr>
                      <w:rFonts w:eastAsia="Calibri"/>
                    </w:rPr>
                  </w:pPr>
                </w:p>
              </w:tc>
              <w:tc>
                <w:tcPr>
                  <w:tcW w:w="871" w:type="dxa"/>
                  <w:shd w:val="clear" w:color="auto" w:fill="auto"/>
                  <w:noWrap/>
                  <w:hideMark/>
                </w:tcPr>
                <w:p w14:paraId="6B38AB77" w14:textId="77777777" w:rsidR="009545F6" w:rsidRPr="0036044B" w:rsidRDefault="009545F6" w:rsidP="0036044B">
                  <w:pPr>
                    <w:rPr>
                      <w:rFonts w:eastAsia="Calibri"/>
                    </w:rPr>
                  </w:pPr>
                </w:p>
              </w:tc>
              <w:tc>
                <w:tcPr>
                  <w:tcW w:w="871" w:type="dxa"/>
                  <w:shd w:val="clear" w:color="auto" w:fill="auto"/>
                  <w:noWrap/>
                  <w:hideMark/>
                </w:tcPr>
                <w:p w14:paraId="7816F63A" w14:textId="77777777" w:rsidR="009545F6" w:rsidRPr="0036044B" w:rsidRDefault="009545F6" w:rsidP="0036044B">
                  <w:pPr>
                    <w:rPr>
                      <w:rFonts w:eastAsia="Calibri"/>
                    </w:rPr>
                  </w:pPr>
                </w:p>
              </w:tc>
              <w:tc>
                <w:tcPr>
                  <w:tcW w:w="871" w:type="dxa"/>
                  <w:gridSpan w:val="2"/>
                  <w:shd w:val="clear" w:color="auto" w:fill="auto"/>
                  <w:noWrap/>
                  <w:hideMark/>
                </w:tcPr>
                <w:p w14:paraId="23F114F8" w14:textId="77777777" w:rsidR="009545F6" w:rsidRPr="0036044B" w:rsidRDefault="009545F6" w:rsidP="0036044B">
                  <w:pPr>
                    <w:rPr>
                      <w:rFonts w:eastAsia="Calibri"/>
                    </w:rPr>
                  </w:pPr>
                </w:p>
              </w:tc>
            </w:tr>
            <w:tr w:rsidR="002B2AD7" w:rsidRPr="0036044B" w14:paraId="70E0232E" w14:textId="77777777" w:rsidTr="009545F6">
              <w:trPr>
                <w:gridAfter w:val="1"/>
                <w:wAfter w:w="786" w:type="dxa"/>
                <w:trHeight w:val="330"/>
              </w:trPr>
              <w:tc>
                <w:tcPr>
                  <w:tcW w:w="2246" w:type="dxa"/>
                  <w:vMerge w:val="restart"/>
                  <w:tcBorders>
                    <w:left w:val="nil"/>
                    <w:bottom w:val="nil"/>
                    <w:right w:val="nil"/>
                  </w:tcBorders>
                  <w:shd w:val="clear" w:color="auto" w:fill="5B9BD5"/>
                  <w:hideMark/>
                </w:tcPr>
                <w:p w14:paraId="06848866" w14:textId="77777777" w:rsidR="009545F6" w:rsidRPr="0036044B" w:rsidRDefault="009545F6" w:rsidP="0036044B">
                  <w:pPr>
                    <w:rPr>
                      <w:b/>
                      <w:bCs/>
                    </w:rPr>
                  </w:pPr>
                  <w:r w:rsidRPr="0036044B">
                    <w:rPr>
                      <w:b/>
                      <w:bCs/>
                    </w:rPr>
                    <w:t>C3 - Managementul deșeurilor</w:t>
                  </w:r>
                </w:p>
              </w:tc>
              <w:tc>
                <w:tcPr>
                  <w:tcW w:w="1842" w:type="dxa"/>
                  <w:shd w:val="clear" w:color="auto" w:fill="D8D8D8"/>
                  <w:noWrap/>
                  <w:hideMark/>
                </w:tcPr>
                <w:p w14:paraId="2571716C" w14:textId="77777777" w:rsidR="009545F6" w:rsidRPr="0036044B" w:rsidRDefault="009545F6" w:rsidP="0036044B">
                  <w:pPr>
                    <w:rPr>
                      <w:bCs/>
                    </w:rPr>
                  </w:pPr>
                  <w:r w:rsidRPr="0036044B">
                    <w:rPr>
                      <w:bCs/>
                    </w:rPr>
                    <w:t>Finanțare mld euro</w:t>
                  </w:r>
                </w:p>
              </w:tc>
              <w:tc>
                <w:tcPr>
                  <w:tcW w:w="870" w:type="dxa"/>
                  <w:shd w:val="clear" w:color="auto" w:fill="D8D8D8"/>
                  <w:noWrap/>
                  <w:hideMark/>
                </w:tcPr>
                <w:p w14:paraId="0C18F0D6" w14:textId="77777777" w:rsidR="009545F6" w:rsidRPr="0036044B" w:rsidRDefault="009545F6" w:rsidP="0036044B">
                  <w:pPr>
                    <w:jc w:val="right"/>
                    <w:rPr>
                      <w:bCs/>
                    </w:rPr>
                  </w:pPr>
                  <w:r w:rsidRPr="0036044B">
                    <w:rPr>
                      <w:bCs/>
                    </w:rPr>
                    <w:t>0.00</w:t>
                  </w:r>
                </w:p>
              </w:tc>
              <w:tc>
                <w:tcPr>
                  <w:tcW w:w="871" w:type="dxa"/>
                  <w:shd w:val="clear" w:color="auto" w:fill="D8D8D8"/>
                  <w:noWrap/>
                  <w:hideMark/>
                </w:tcPr>
                <w:p w14:paraId="33DC08DA" w14:textId="77777777" w:rsidR="009545F6" w:rsidRPr="0036044B" w:rsidRDefault="009545F6" w:rsidP="0036044B">
                  <w:pPr>
                    <w:jc w:val="right"/>
                    <w:rPr>
                      <w:bCs/>
                    </w:rPr>
                  </w:pPr>
                  <w:r w:rsidRPr="0036044B">
                    <w:rPr>
                      <w:bCs/>
                    </w:rPr>
                    <w:t>0.10</w:t>
                  </w:r>
                </w:p>
              </w:tc>
              <w:tc>
                <w:tcPr>
                  <w:tcW w:w="871" w:type="dxa"/>
                  <w:shd w:val="clear" w:color="auto" w:fill="D8D8D8"/>
                  <w:noWrap/>
                  <w:hideMark/>
                </w:tcPr>
                <w:p w14:paraId="1B4C5523" w14:textId="77777777" w:rsidR="009545F6" w:rsidRPr="0036044B" w:rsidRDefault="009545F6" w:rsidP="0036044B">
                  <w:pPr>
                    <w:jc w:val="right"/>
                    <w:rPr>
                      <w:bCs/>
                    </w:rPr>
                  </w:pPr>
                  <w:r w:rsidRPr="0036044B">
                    <w:rPr>
                      <w:bCs/>
                    </w:rPr>
                    <w:t>0.24</w:t>
                  </w:r>
                </w:p>
              </w:tc>
              <w:tc>
                <w:tcPr>
                  <w:tcW w:w="871" w:type="dxa"/>
                  <w:shd w:val="clear" w:color="auto" w:fill="D8D8D8"/>
                  <w:noWrap/>
                  <w:hideMark/>
                </w:tcPr>
                <w:p w14:paraId="5A6ACD32" w14:textId="77777777" w:rsidR="009545F6" w:rsidRPr="0036044B" w:rsidRDefault="009545F6" w:rsidP="0036044B">
                  <w:pPr>
                    <w:jc w:val="right"/>
                    <w:rPr>
                      <w:bCs/>
                    </w:rPr>
                  </w:pPr>
                  <w:r w:rsidRPr="0036044B">
                    <w:rPr>
                      <w:bCs/>
                    </w:rPr>
                    <w:t>0.24</w:t>
                  </w:r>
                </w:p>
              </w:tc>
              <w:tc>
                <w:tcPr>
                  <w:tcW w:w="871" w:type="dxa"/>
                  <w:shd w:val="clear" w:color="auto" w:fill="D8D8D8"/>
                  <w:noWrap/>
                  <w:hideMark/>
                </w:tcPr>
                <w:p w14:paraId="4E4EDAD1" w14:textId="77777777" w:rsidR="009545F6" w:rsidRPr="0036044B" w:rsidRDefault="009545F6" w:rsidP="0036044B">
                  <w:pPr>
                    <w:jc w:val="right"/>
                    <w:rPr>
                      <w:bCs/>
                    </w:rPr>
                  </w:pPr>
                  <w:r w:rsidRPr="0036044B">
                    <w:rPr>
                      <w:bCs/>
                    </w:rPr>
                    <w:t>0.24</w:t>
                  </w:r>
                </w:p>
              </w:tc>
              <w:tc>
                <w:tcPr>
                  <w:tcW w:w="871" w:type="dxa"/>
                  <w:shd w:val="clear" w:color="auto" w:fill="D8D8D8"/>
                  <w:noWrap/>
                  <w:hideMark/>
                </w:tcPr>
                <w:p w14:paraId="422D7418" w14:textId="77777777" w:rsidR="009545F6" w:rsidRPr="0036044B" w:rsidRDefault="009545F6" w:rsidP="0036044B">
                  <w:pPr>
                    <w:jc w:val="right"/>
                    <w:rPr>
                      <w:bCs/>
                    </w:rPr>
                  </w:pPr>
                  <w:r w:rsidRPr="0036044B">
                    <w:rPr>
                      <w:bCs/>
                    </w:rPr>
                    <w:t>0.37</w:t>
                  </w:r>
                </w:p>
              </w:tc>
              <w:tc>
                <w:tcPr>
                  <w:tcW w:w="871" w:type="dxa"/>
                  <w:gridSpan w:val="2"/>
                  <w:shd w:val="clear" w:color="auto" w:fill="D8D8D8"/>
                  <w:noWrap/>
                  <w:hideMark/>
                </w:tcPr>
                <w:p w14:paraId="64CB9355" w14:textId="77777777" w:rsidR="009545F6" w:rsidRPr="0036044B" w:rsidRDefault="009545F6" w:rsidP="0036044B">
                  <w:pPr>
                    <w:jc w:val="center"/>
                    <w:rPr>
                      <w:bCs/>
                    </w:rPr>
                  </w:pPr>
                  <w:r w:rsidRPr="0036044B">
                    <w:rPr>
                      <w:bCs/>
                    </w:rPr>
                    <w:t>1.18</w:t>
                  </w:r>
                </w:p>
              </w:tc>
            </w:tr>
            <w:tr w:rsidR="002B2AD7" w:rsidRPr="0036044B" w14:paraId="37E7F640" w14:textId="77777777" w:rsidTr="009545F6">
              <w:trPr>
                <w:gridAfter w:val="1"/>
                <w:wAfter w:w="786" w:type="dxa"/>
                <w:trHeight w:val="330"/>
              </w:trPr>
              <w:tc>
                <w:tcPr>
                  <w:tcW w:w="2246" w:type="dxa"/>
                  <w:vMerge/>
                  <w:tcBorders>
                    <w:left w:val="nil"/>
                    <w:bottom w:val="nil"/>
                    <w:right w:val="nil"/>
                  </w:tcBorders>
                  <w:shd w:val="clear" w:color="auto" w:fill="5B9BD5"/>
                  <w:hideMark/>
                </w:tcPr>
                <w:p w14:paraId="61B28CDA" w14:textId="77777777" w:rsidR="009545F6" w:rsidRPr="0036044B" w:rsidRDefault="009545F6" w:rsidP="0036044B">
                  <w:pPr>
                    <w:rPr>
                      <w:b/>
                      <w:bCs/>
                    </w:rPr>
                  </w:pPr>
                </w:p>
              </w:tc>
              <w:tc>
                <w:tcPr>
                  <w:tcW w:w="1842" w:type="dxa"/>
                  <w:shd w:val="clear" w:color="auto" w:fill="auto"/>
                  <w:noWrap/>
                  <w:hideMark/>
                </w:tcPr>
                <w:p w14:paraId="19D26BD4" w14:textId="77777777" w:rsidR="009545F6" w:rsidRPr="0036044B" w:rsidRDefault="009545F6" w:rsidP="0036044B">
                  <w:pPr>
                    <w:rPr>
                      <w:bCs/>
                    </w:rPr>
                  </w:pPr>
                  <w:r w:rsidRPr="0036044B">
                    <w:rPr>
                      <w:bCs/>
                    </w:rPr>
                    <w:t>Impact cumulat %</w:t>
                  </w:r>
                </w:p>
              </w:tc>
              <w:tc>
                <w:tcPr>
                  <w:tcW w:w="870" w:type="dxa"/>
                  <w:shd w:val="clear" w:color="auto" w:fill="auto"/>
                  <w:noWrap/>
                  <w:hideMark/>
                </w:tcPr>
                <w:p w14:paraId="387F5552" w14:textId="77777777" w:rsidR="009545F6" w:rsidRPr="0036044B" w:rsidRDefault="009545F6" w:rsidP="0036044B">
                  <w:pPr>
                    <w:jc w:val="right"/>
                    <w:rPr>
                      <w:bCs/>
                    </w:rPr>
                  </w:pPr>
                  <w:r w:rsidRPr="0036044B">
                    <w:rPr>
                      <w:bCs/>
                    </w:rPr>
                    <w:t>0.00%</w:t>
                  </w:r>
                </w:p>
              </w:tc>
              <w:tc>
                <w:tcPr>
                  <w:tcW w:w="871" w:type="dxa"/>
                  <w:shd w:val="clear" w:color="auto" w:fill="auto"/>
                  <w:noWrap/>
                  <w:hideMark/>
                </w:tcPr>
                <w:p w14:paraId="07F8F233" w14:textId="77777777" w:rsidR="009545F6" w:rsidRPr="0036044B" w:rsidRDefault="009545F6" w:rsidP="0036044B">
                  <w:pPr>
                    <w:jc w:val="right"/>
                    <w:rPr>
                      <w:bCs/>
                    </w:rPr>
                  </w:pPr>
                  <w:r w:rsidRPr="0036044B">
                    <w:rPr>
                      <w:bCs/>
                    </w:rPr>
                    <w:t>0.02%</w:t>
                  </w:r>
                </w:p>
              </w:tc>
              <w:tc>
                <w:tcPr>
                  <w:tcW w:w="871" w:type="dxa"/>
                  <w:shd w:val="clear" w:color="auto" w:fill="auto"/>
                  <w:noWrap/>
                  <w:hideMark/>
                </w:tcPr>
                <w:p w14:paraId="747045F9" w14:textId="77777777" w:rsidR="009545F6" w:rsidRPr="0036044B" w:rsidRDefault="009545F6" w:rsidP="0036044B">
                  <w:pPr>
                    <w:jc w:val="right"/>
                    <w:rPr>
                      <w:bCs/>
                    </w:rPr>
                  </w:pPr>
                  <w:r w:rsidRPr="0036044B">
                    <w:rPr>
                      <w:bCs/>
                    </w:rPr>
                    <w:t>0.09%</w:t>
                  </w:r>
                </w:p>
              </w:tc>
              <w:tc>
                <w:tcPr>
                  <w:tcW w:w="871" w:type="dxa"/>
                  <w:shd w:val="clear" w:color="auto" w:fill="auto"/>
                  <w:noWrap/>
                  <w:hideMark/>
                </w:tcPr>
                <w:p w14:paraId="12394B2F" w14:textId="77777777" w:rsidR="009545F6" w:rsidRPr="0036044B" w:rsidRDefault="009545F6" w:rsidP="0036044B">
                  <w:pPr>
                    <w:jc w:val="right"/>
                    <w:rPr>
                      <w:bCs/>
                    </w:rPr>
                  </w:pPr>
                  <w:r w:rsidRPr="0036044B">
                    <w:rPr>
                      <w:bCs/>
                    </w:rPr>
                    <w:t>0.14%</w:t>
                  </w:r>
                </w:p>
              </w:tc>
              <w:tc>
                <w:tcPr>
                  <w:tcW w:w="871" w:type="dxa"/>
                  <w:shd w:val="clear" w:color="auto" w:fill="auto"/>
                  <w:noWrap/>
                  <w:hideMark/>
                </w:tcPr>
                <w:p w14:paraId="3B0608F1" w14:textId="77777777" w:rsidR="009545F6" w:rsidRPr="0036044B" w:rsidRDefault="009545F6" w:rsidP="0036044B">
                  <w:pPr>
                    <w:jc w:val="right"/>
                    <w:rPr>
                      <w:bCs/>
                    </w:rPr>
                  </w:pPr>
                  <w:r w:rsidRPr="0036044B">
                    <w:rPr>
                      <w:bCs/>
                    </w:rPr>
                    <w:t>0.17%</w:t>
                  </w:r>
                </w:p>
              </w:tc>
              <w:tc>
                <w:tcPr>
                  <w:tcW w:w="871" w:type="dxa"/>
                  <w:shd w:val="clear" w:color="auto" w:fill="auto"/>
                  <w:noWrap/>
                  <w:hideMark/>
                </w:tcPr>
                <w:p w14:paraId="7191C83C" w14:textId="77777777" w:rsidR="009545F6" w:rsidRPr="0036044B" w:rsidRDefault="009545F6" w:rsidP="0036044B">
                  <w:pPr>
                    <w:jc w:val="right"/>
                    <w:rPr>
                      <w:bCs/>
                    </w:rPr>
                  </w:pPr>
                  <w:r w:rsidRPr="0036044B">
                    <w:rPr>
                      <w:bCs/>
                    </w:rPr>
                    <w:t>0.23%</w:t>
                  </w:r>
                </w:p>
              </w:tc>
              <w:tc>
                <w:tcPr>
                  <w:tcW w:w="871" w:type="dxa"/>
                  <w:gridSpan w:val="2"/>
                  <w:shd w:val="clear" w:color="auto" w:fill="auto"/>
                  <w:noWrap/>
                  <w:hideMark/>
                </w:tcPr>
                <w:p w14:paraId="00BB98F7" w14:textId="77777777" w:rsidR="009545F6" w:rsidRPr="0036044B" w:rsidRDefault="009545F6" w:rsidP="0036044B">
                  <w:pPr>
                    <w:jc w:val="center"/>
                    <w:rPr>
                      <w:bCs/>
                    </w:rPr>
                  </w:pPr>
                  <w:r w:rsidRPr="0036044B">
                    <w:rPr>
                      <w:bCs/>
                    </w:rPr>
                    <w:t> </w:t>
                  </w:r>
                </w:p>
              </w:tc>
            </w:tr>
            <w:tr w:rsidR="002B2AD7" w:rsidRPr="0036044B" w14:paraId="1526BF49" w14:textId="77777777" w:rsidTr="009545F6">
              <w:trPr>
                <w:gridAfter w:val="1"/>
                <w:wAfter w:w="786" w:type="dxa"/>
                <w:trHeight w:val="315"/>
              </w:trPr>
              <w:tc>
                <w:tcPr>
                  <w:tcW w:w="2246" w:type="dxa"/>
                  <w:tcBorders>
                    <w:left w:val="nil"/>
                    <w:bottom w:val="nil"/>
                    <w:right w:val="nil"/>
                  </w:tcBorders>
                  <w:shd w:val="clear" w:color="auto" w:fill="5B9BD5"/>
                  <w:hideMark/>
                </w:tcPr>
                <w:p w14:paraId="58DEC9C5" w14:textId="77777777" w:rsidR="009545F6" w:rsidRPr="0036044B" w:rsidRDefault="009545F6" w:rsidP="0036044B">
                  <w:pPr>
                    <w:rPr>
                      <w:b/>
                      <w:bCs/>
                    </w:rPr>
                  </w:pPr>
                </w:p>
              </w:tc>
              <w:tc>
                <w:tcPr>
                  <w:tcW w:w="1842" w:type="dxa"/>
                  <w:shd w:val="clear" w:color="auto" w:fill="D8D8D8"/>
                  <w:noWrap/>
                  <w:hideMark/>
                </w:tcPr>
                <w:p w14:paraId="75EF6BAC" w14:textId="77777777" w:rsidR="009545F6" w:rsidRPr="0036044B" w:rsidRDefault="009545F6" w:rsidP="0036044B">
                  <w:pPr>
                    <w:rPr>
                      <w:rFonts w:eastAsia="Calibri"/>
                    </w:rPr>
                  </w:pPr>
                </w:p>
              </w:tc>
              <w:tc>
                <w:tcPr>
                  <w:tcW w:w="870" w:type="dxa"/>
                  <w:shd w:val="clear" w:color="auto" w:fill="D8D8D8"/>
                  <w:noWrap/>
                  <w:hideMark/>
                </w:tcPr>
                <w:p w14:paraId="7D028EE8" w14:textId="77777777" w:rsidR="009545F6" w:rsidRPr="0036044B" w:rsidRDefault="009545F6" w:rsidP="0036044B">
                  <w:pPr>
                    <w:rPr>
                      <w:rFonts w:eastAsia="Calibri"/>
                    </w:rPr>
                  </w:pPr>
                </w:p>
              </w:tc>
              <w:tc>
                <w:tcPr>
                  <w:tcW w:w="871" w:type="dxa"/>
                  <w:shd w:val="clear" w:color="auto" w:fill="D8D8D8"/>
                  <w:noWrap/>
                  <w:hideMark/>
                </w:tcPr>
                <w:p w14:paraId="663149FF" w14:textId="77777777" w:rsidR="009545F6" w:rsidRPr="0036044B" w:rsidRDefault="009545F6" w:rsidP="0036044B">
                  <w:pPr>
                    <w:rPr>
                      <w:rFonts w:eastAsia="Calibri"/>
                    </w:rPr>
                  </w:pPr>
                </w:p>
              </w:tc>
              <w:tc>
                <w:tcPr>
                  <w:tcW w:w="871" w:type="dxa"/>
                  <w:shd w:val="clear" w:color="auto" w:fill="D8D8D8"/>
                  <w:noWrap/>
                  <w:hideMark/>
                </w:tcPr>
                <w:p w14:paraId="0BF0B540" w14:textId="77777777" w:rsidR="009545F6" w:rsidRPr="0036044B" w:rsidRDefault="009545F6" w:rsidP="0036044B">
                  <w:pPr>
                    <w:rPr>
                      <w:rFonts w:eastAsia="Calibri"/>
                    </w:rPr>
                  </w:pPr>
                </w:p>
              </w:tc>
              <w:tc>
                <w:tcPr>
                  <w:tcW w:w="871" w:type="dxa"/>
                  <w:shd w:val="clear" w:color="auto" w:fill="D8D8D8"/>
                  <w:noWrap/>
                  <w:hideMark/>
                </w:tcPr>
                <w:p w14:paraId="2C660429" w14:textId="77777777" w:rsidR="009545F6" w:rsidRPr="0036044B" w:rsidRDefault="009545F6" w:rsidP="0036044B">
                  <w:pPr>
                    <w:rPr>
                      <w:rFonts w:eastAsia="Calibri"/>
                    </w:rPr>
                  </w:pPr>
                </w:p>
              </w:tc>
              <w:tc>
                <w:tcPr>
                  <w:tcW w:w="871" w:type="dxa"/>
                  <w:shd w:val="clear" w:color="auto" w:fill="D8D8D8"/>
                  <w:noWrap/>
                  <w:hideMark/>
                </w:tcPr>
                <w:p w14:paraId="60BA5D4D" w14:textId="77777777" w:rsidR="009545F6" w:rsidRPr="0036044B" w:rsidRDefault="009545F6" w:rsidP="0036044B">
                  <w:pPr>
                    <w:rPr>
                      <w:rFonts w:eastAsia="Calibri"/>
                    </w:rPr>
                  </w:pPr>
                </w:p>
              </w:tc>
              <w:tc>
                <w:tcPr>
                  <w:tcW w:w="871" w:type="dxa"/>
                  <w:shd w:val="clear" w:color="auto" w:fill="D8D8D8"/>
                  <w:noWrap/>
                  <w:hideMark/>
                </w:tcPr>
                <w:p w14:paraId="689A4CF4" w14:textId="77777777" w:rsidR="009545F6" w:rsidRPr="0036044B" w:rsidRDefault="009545F6" w:rsidP="0036044B">
                  <w:pPr>
                    <w:rPr>
                      <w:rFonts w:eastAsia="Calibri"/>
                    </w:rPr>
                  </w:pPr>
                </w:p>
              </w:tc>
              <w:tc>
                <w:tcPr>
                  <w:tcW w:w="871" w:type="dxa"/>
                  <w:gridSpan w:val="2"/>
                  <w:shd w:val="clear" w:color="auto" w:fill="D8D8D8"/>
                  <w:noWrap/>
                  <w:hideMark/>
                </w:tcPr>
                <w:p w14:paraId="028721C2" w14:textId="77777777" w:rsidR="009545F6" w:rsidRPr="0036044B" w:rsidRDefault="009545F6" w:rsidP="0036044B">
                  <w:pPr>
                    <w:rPr>
                      <w:rFonts w:eastAsia="Calibri"/>
                    </w:rPr>
                  </w:pPr>
                </w:p>
              </w:tc>
            </w:tr>
            <w:tr w:rsidR="002B2AD7" w:rsidRPr="0036044B" w14:paraId="3B56B7C0" w14:textId="77777777" w:rsidTr="009545F6">
              <w:trPr>
                <w:gridAfter w:val="1"/>
                <w:wAfter w:w="786" w:type="dxa"/>
                <w:trHeight w:val="330"/>
              </w:trPr>
              <w:tc>
                <w:tcPr>
                  <w:tcW w:w="2246" w:type="dxa"/>
                  <w:vMerge w:val="restart"/>
                  <w:tcBorders>
                    <w:left w:val="nil"/>
                    <w:bottom w:val="nil"/>
                    <w:right w:val="nil"/>
                  </w:tcBorders>
                  <w:shd w:val="clear" w:color="auto" w:fill="5B9BD5"/>
                  <w:hideMark/>
                </w:tcPr>
                <w:p w14:paraId="0A8502A8" w14:textId="77777777" w:rsidR="009545F6" w:rsidRPr="0036044B" w:rsidRDefault="009545F6" w:rsidP="0036044B">
                  <w:pPr>
                    <w:rPr>
                      <w:b/>
                      <w:bCs/>
                    </w:rPr>
                  </w:pPr>
                  <w:r w:rsidRPr="0036044B">
                    <w:rPr>
                      <w:b/>
                      <w:bCs/>
                    </w:rPr>
                    <w:t>C4 - Transport sustenabil</w:t>
                  </w:r>
                </w:p>
              </w:tc>
              <w:tc>
                <w:tcPr>
                  <w:tcW w:w="1842" w:type="dxa"/>
                  <w:shd w:val="clear" w:color="auto" w:fill="auto"/>
                  <w:noWrap/>
                  <w:hideMark/>
                </w:tcPr>
                <w:p w14:paraId="2BC394D0" w14:textId="77777777" w:rsidR="009545F6" w:rsidRPr="0036044B" w:rsidRDefault="009545F6" w:rsidP="0036044B">
                  <w:pPr>
                    <w:rPr>
                      <w:bCs/>
                    </w:rPr>
                  </w:pPr>
                  <w:r w:rsidRPr="0036044B">
                    <w:rPr>
                      <w:bCs/>
                    </w:rPr>
                    <w:t>Finanțare mld euro</w:t>
                  </w:r>
                </w:p>
              </w:tc>
              <w:tc>
                <w:tcPr>
                  <w:tcW w:w="870" w:type="dxa"/>
                  <w:shd w:val="clear" w:color="auto" w:fill="auto"/>
                  <w:noWrap/>
                  <w:hideMark/>
                </w:tcPr>
                <w:p w14:paraId="0930C8BB" w14:textId="77777777" w:rsidR="009545F6" w:rsidRPr="0036044B" w:rsidRDefault="009545F6" w:rsidP="0036044B">
                  <w:pPr>
                    <w:jc w:val="right"/>
                    <w:rPr>
                      <w:bCs/>
                    </w:rPr>
                  </w:pPr>
                  <w:r w:rsidRPr="0036044B">
                    <w:rPr>
                      <w:bCs/>
                    </w:rPr>
                    <w:t>0.06</w:t>
                  </w:r>
                </w:p>
              </w:tc>
              <w:tc>
                <w:tcPr>
                  <w:tcW w:w="871" w:type="dxa"/>
                  <w:shd w:val="clear" w:color="auto" w:fill="auto"/>
                  <w:noWrap/>
                  <w:hideMark/>
                </w:tcPr>
                <w:p w14:paraId="2F916741" w14:textId="77777777" w:rsidR="009545F6" w:rsidRPr="0036044B" w:rsidRDefault="009545F6" w:rsidP="0036044B">
                  <w:pPr>
                    <w:jc w:val="right"/>
                    <w:rPr>
                      <w:bCs/>
                    </w:rPr>
                  </w:pPr>
                  <w:r w:rsidRPr="0036044B">
                    <w:rPr>
                      <w:bCs/>
                    </w:rPr>
                    <w:t>0.85</w:t>
                  </w:r>
                </w:p>
              </w:tc>
              <w:tc>
                <w:tcPr>
                  <w:tcW w:w="871" w:type="dxa"/>
                  <w:shd w:val="clear" w:color="auto" w:fill="auto"/>
                  <w:noWrap/>
                  <w:hideMark/>
                </w:tcPr>
                <w:p w14:paraId="783300BA" w14:textId="77777777" w:rsidR="009545F6" w:rsidRPr="0036044B" w:rsidRDefault="009545F6" w:rsidP="0036044B">
                  <w:pPr>
                    <w:jc w:val="right"/>
                    <w:rPr>
                      <w:bCs/>
                    </w:rPr>
                  </w:pPr>
                  <w:r w:rsidRPr="0036044B">
                    <w:rPr>
                      <w:bCs/>
                    </w:rPr>
                    <w:t>1.67</w:t>
                  </w:r>
                </w:p>
              </w:tc>
              <w:tc>
                <w:tcPr>
                  <w:tcW w:w="871" w:type="dxa"/>
                  <w:shd w:val="clear" w:color="auto" w:fill="auto"/>
                  <w:noWrap/>
                  <w:hideMark/>
                </w:tcPr>
                <w:p w14:paraId="57AFD0C9" w14:textId="77777777" w:rsidR="009545F6" w:rsidRPr="0036044B" w:rsidRDefault="009545F6" w:rsidP="0036044B">
                  <w:pPr>
                    <w:jc w:val="right"/>
                    <w:rPr>
                      <w:bCs/>
                    </w:rPr>
                  </w:pPr>
                  <w:r w:rsidRPr="0036044B">
                    <w:rPr>
                      <w:bCs/>
                    </w:rPr>
                    <w:t>1.95</w:t>
                  </w:r>
                </w:p>
              </w:tc>
              <w:tc>
                <w:tcPr>
                  <w:tcW w:w="871" w:type="dxa"/>
                  <w:shd w:val="clear" w:color="auto" w:fill="auto"/>
                  <w:noWrap/>
                  <w:hideMark/>
                </w:tcPr>
                <w:p w14:paraId="0EE99A8C" w14:textId="77777777" w:rsidR="009545F6" w:rsidRPr="0036044B" w:rsidRDefault="009545F6" w:rsidP="0036044B">
                  <w:pPr>
                    <w:jc w:val="right"/>
                    <w:rPr>
                      <w:bCs/>
                    </w:rPr>
                  </w:pPr>
                  <w:r w:rsidRPr="0036044B">
                    <w:rPr>
                      <w:bCs/>
                    </w:rPr>
                    <w:t>1.85</w:t>
                  </w:r>
                </w:p>
              </w:tc>
              <w:tc>
                <w:tcPr>
                  <w:tcW w:w="871" w:type="dxa"/>
                  <w:shd w:val="clear" w:color="auto" w:fill="auto"/>
                  <w:noWrap/>
                  <w:hideMark/>
                </w:tcPr>
                <w:p w14:paraId="32DA9313" w14:textId="77777777" w:rsidR="009545F6" w:rsidRPr="0036044B" w:rsidRDefault="009545F6" w:rsidP="0036044B">
                  <w:pPr>
                    <w:jc w:val="right"/>
                    <w:rPr>
                      <w:bCs/>
                    </w:rPr>
                  </w:pPr>
                  <w:r w:rsidRPr="0036044B">
                    <w:rPr>
                      <w:bCs/>
                    </w:rPr>
                    <w:t>1.23</w:t>
                  </w:r>
                </w:p>
              </w:tc>
              <w:tc>
                <w:tcPr>
                  <w:tcW w:w="871" w:type="dxa"/>
                  <w:gridSpan w:val="2"/>
                  <w:shd w:val="clear" w:color="auto" w:fill="auto"/>
                  <w:noWrap/>
                  <w:hideMark/>
                </w:tcPr>
                <w:p w14:paraId="06490BCF" w14:textId="77777777" w:rsidR="009545F6" w:rsidRPr="0036044B" w:rsidRDefault="009545F6" w:rsidP="0036044B">
                  <w:pPr>
                    <w:jc w:val="center"/>
                    <w:rPr>
                      <w:bCs/>
                    </w:rPr>
                  </w:pPr>
                  <w:r w:rsidRPr="0036044B">
                    <w:rPr>
                      <w:bCs/>
                    </w:rPr>
                    <w:t>7.60</w:t>
                  </w:r>
                </w:p>
              </w:tc>
            </w:tr>
            <w:tr w:rsidR="002B2AD7" w:rsidRPr="0036044B" w14:paraId="1EB9D7FE" w14:textId="77777777" w:rsidTr="009545F6">
              <w:trPr>
                <w:trHeight w:val="330"/>
              </w:trPr>
              <w:tc>
                <w:tcPr>
                  <w:tcW w:w="2246" w:type="dxa"/>
                  <w:vMerge/>
                  <w:tcBorders>
                    <w:left w:val="nil"/>
                    <w:bottom w:val="nil"/>
                    <w:right w:val="nil"/>
                  </w:tcBorders>
                  <w:shd w:val="clear" w:color="auto" w:fill="5B9BD5"/>
                  <w:hideMark/>
                </w:tcPr>
                <w:p w14:paraId="08D41965" w14:textId="77777777" w:rsidR="009545F6" w:rsidRPr="0036044B" w:rsidRDefault="009545F6" w:rsidP="0036044B">
                  <w:pPr>
                    <w:rPr>
                      <w:b/>
                      <w:bCs/>
                    </w:rPr>
                  </w:pPr>
                </w:p>
              </w:tc>
              <w:tc>
                <w:tcPr>
                  <w:tcW w:w="1842" w:type="dxa"/>
                  <w:shd w:val="clear" w:color="auto" w:fill="D8D8D8"/>
                  <w:noWrap/>
                  <w:hideMark/>
                </w:tcPr>
                <w:p w14:paraId="4BDEE699" w14:textId="77777777" w:rsidR="009545F6" w:rsidRPr="0036044B" w:rsidRDefault="009545F6" w:rsidP="0036044B">
                  <w:pPr>
                    <w:rPr>
                      <w:bCs/>
                    </w:rPr>
                  </w:pPr>
                  <w:r w:rsidRPr="0036044B">
                    <w:rPr>
                      <w:bCs/>
                    </w:rPr>
                    <w:t>Impact cumulat %</w:t>
                  </w:r>
                </w:p>
              </w:tc>
              <w:tc>
                <w:tcPr>
                  <w:tcW w:w="870" w:type="dxa"/>
                  <w:shd w:val="clear" w:color="auto" w:fill="D8D8D8"/>
                  <w:noWrap/>
                  <w:hideMark/>
                </w:tcPr>
                <w:p w14:paraId="41414A2F" w14:textId="77777777" w:rsidR="009545F6" w:rsidRPr="0036044B" w:rsidRDefault="009545F6" w:rsidP="0036044B">
                  <w:pPr>
                    <w:jc w:val="right"/>
                    <w:rPr>
                      <w:bCs/>
                    </w:rPr>
                  </w:pPr>
                  <w:r w:rsidRPr="0036044B">
                    <w:rPr>
                      <w:bCs/>
                    </w:rPr>
                    <w:t>0.0%</w:t>
                  </w:r>
                </w:p>
              </w:tc>
              <w:tc>
                <w:tcPr>
                  <w:tcW w:w="871" w:type="dxa"/>
                  <w:shd w:val="clear" w:color="auto" w:fill="D8D8D8"/>
                  <w:noWrap/>
                  <w:hideMark/>
                </w:tcPr>
                <w:p w14:paraId="00C7B54F" w14:textId="77777777" w:rsidR="009545F6" w:rsidRPr="0036044B" w:rsidRDefault="009545F6" w:rsidP="0036044B">
                  <w:pPr>
                    <w:jc w:val="right"/>
                    <w:rPr>
                      <w:bCs/>
                    </w:rPr>
                  </w:pPr>
                  <w:r w:rsidRPr="0036044B">
                    <w:rPr>
                      <w:bCs/>
                    </w:rPr>
                    <w:t>0.2%</w:t>
                  </w:r>
                </w:p>
              </w:tc>
              <w:tc>
                <w:tcPr>
                  <w:tcW w:w="871" w:type="dxa"/>
                  <w:shd w:val="clear" w:color="auto" w:fill="D8D8D8"/>
                  <w:noWrap/>
                  <w:hideMark/>
                </w:tcPr>
                <w:p w14:paraId="08834F13" w14:textId="77777777" w:rsidR="009545F6" w:rsidRPr="0036044B" w:rsidRDefault="009545F6" w:rsidP="0036044B">
                  <w:pPr>
                    <w:jc w:val="right"/>
                    <w:rPr>
                      <w:bCs/>
                    </w:rPr>
                  </w:pPr>
                  <w:r w:rsidRPr="0036044B">
                    <w:rPr>
                      <w:bCs/>
                    </w:rPr>
                    <w:t>0.5%</w:t>
                  </w:r>
                </w:p>
              </w:tc>
              <w:tc>
                <w:tcPr>
                  <w:tcW w:w="871" w:type="dxa"/>
                  <w:shd w:val="clear" w:color="auto" w:fill="D8D8D8"/>
                  <w:noWrap/>
                  <w:hideMark/>
                </w:tcPr>
                <w:p w14:paraId="307D484C" w14:textId="77777777" w:rsidR="009545F6" w:rsidRPr="0036044B" w:rsidRDefault="009545F6" w:rsidP="0036044B">
                  <w:pPr>
                    <w:jc w:val="right"/>
                    <w:rPr>
                      <w:bCs/>
                    </w:rPr>
                  </w:pPr>
                  <w:r w:rsidRPr="0036044B">
                    <w:rPr>
                      <w:bCs/>
                    </w:rPr>
                    <w:t>1.0%</w:t>
                  </w:r>
                </w:p>
              </w:tc>
              <w:tc>
                <w:tcPr>
                  <w:tcW w:w="871" w:type="dxa"/>
                  <w:shd w:val="clear" w:color="auto" w:fill="D8D8D8"/>
                  <w:noWrap/>
                  <w:hideMark/>
                </w:tcPr>
                <w:p w14:paraId="514B5A05" w14:textId="77777777" w:rsidR="009545F6" w:rsidRPr="0036044B" w:rsidRDefault="009545F6" w:rsidP="0036044B">
                  <w:pPr>
                    <w:jc w:val="right"/>
                    <w:rPr>
                      <w:bCs/>
                    </w:rPr>
                  </w:pPr>
                  <w:r w:rsidRPr="0036044B">
                    <w:rPr>
                      <w:bCs/>
                    </w:rPr>
                    <w:t>1.2%</w:t>
                  </w:r>
                </w:p>
              </w:tc>
              <w:tc>
                <w:tcPr>
                  <w:tcW w:w="1657" w:type="dxa"/>
                  <w:gridSpan w:val="2"/>
                  <w:shd w:val="clear" w:color="auto" w:fill="D8D8D8"/>
                  <w:noWrap/>
                  <w:hideMark/>
                </w:tcPr>
                <w:p w14:paraId="52C9622C" w14:textId="77777777" w:rsidR="009545F6" w:rsidRPr="0036044B" w:rsidRDefault="009545F6" w:rsidP="0036044B">
                  <w:pPr>
                    <w:jc w:val="right"/>
                    <w:rPr>
                      <w:bCs/>
                    </w:rPr>
                  </w:pPr>
                  <w:r w:rsidRPr="0036044B">
                    <w:rPr>
                      <w:bCs/>
                    </w:rPr>
                    <w:t>1.3%</w:t>
                  </w:r>
                </w:p>
              </w:tc>
              <w:tc>
                <w:tcPr>
                  <w:tcW w:w="871" w:type="dxa"/>
                  <w:gridSpan w:val="2"/>
                  <w:shd w:val="clear" w:color="auto" w:fill="D8D8D8"/>
                  <w:noWrap/>
                  <w:hideMark/>
                </w:tcPr>
                <w:p w14:paraId="12C806CE" w14:textId="77777777" w:rsidR="009545F6" w:rsidRPr="0036044B" w:rsidRDefault="009545F6" w:rsidP="0036044B">
                  <w:pPr>
                    <w:jc w:val="center"/>
                    <w:rPr>
                      <w:bCs/>
                    </w:rPr>
                  </w:pPr>
                  <w:r w:rsidRPr="0036044B">
                    <w:rPr>
                      <w:bCs/>
                    </w:rPr>
                    <w:t> </w:t>
                  </w:r>
                </w:p>
              </w:tc>
            </w:tr>
            <w:tr w:rsidR="002B2AD7" w:rsidRPr="0036044B" w14:paraId="3D5E7EC0" w14:textId="77777777" w:rsidTr="009545F6">
              <w:trPr>
                <w:gridAfter w:val="2"/>
                <w:wAfter w:w="871" w:type="dxa"/>
                <w:trHeight w:val="330"/>
              </w:trPr>
              <w:tc>
                <w:tcPr>
                  <w:tcW w:w="2246" w:type="dxa"/>
                  <w:vMerge w:val="restart"/>
                  <w:tcBorders>
                    <w:left w:val="nil"/>
                    <w:bottom w:val="nil"/>
                    <w:right w:val="nil"/>
                  </w:tcBorders>
                  <w:shd w:val="clear" w:color="auto" w:fill="5B9BD5"/>
                  <w:hideMark/>
                </w:tcPr>
                <w:p w14:paraId="083EF602" w14:textId="77777777" w:rsidR="009545F6" w:rsidRPr="0036044B" w:rsidRDefault="009545F6" w:rsidP="0036044B">
                  <w:pPr>
                    <w:rPr>
                      <w:b/>
                      <w:bCs/>
                    </w:rPr>
                  </w:pPr>
                  <w:r w:rsidRPr="0036044B">
                    <w:rPr>
                      <w:b/>
                      <w:bCs/>
                    </w:rPr>
                    <w:t>C5 - Valul Renovării</w:t>
                  </w:r>
                </w:p>
              </w:tc>
              <w:tc>
                <w:tcPr>
                  <w:tcW w:w="1842" w:type="dxa"/>
                  <w:shd w:val="clear" w:color="auto" w:fill="D8D8D8"/>
                  <w:noWrap/>
                  <w:hideMark/>
                </w:tcPr>
                <w:p w14:paraId="72705D27" w14:textId="77777777" w:rsidR="009545F6" w:rsidRPr="0036044B" w:rsidRDefault="009545F6" w:rsidP="0036044B">
                  <w:pPr>
                    <w:rPr>
                      <w:bCs/>
                    </w:rPr>
                  </w:pPr>
                  <w:r w:rsidRPr="0036044B">
                    <w:rPr>
                      <w:bCs/>
                    </w:rPr>
                    <w:t>Finanțare mld euro</w:t>
                  </w:r>
                </w:p>
              </w:tc>
              <w:tc>
                <w:tcPr>
                  <w:tcW w:w="870" w:type="dxa"/>
                  <w:shd w:val="clear" w:color="auto" w:fill="D8D8D8"/>
                  <w:noWrap/>
                  <w:hideMark/>
                </w:tcPr>
                <w:p w14:paraId="5BB2845F" w14:textId="77777777" w:rsidR="009545F6" w:rsidRPr="0036044B" w:rsidRDefault="009545F6" w:rsidP="0036044B">
                  <w:pPr>
                    <w:jc w:val="right"/>
                    <w:rPr>
                      <w:bCs/>
                    </w:rPr>
                  </w:pPr>
                  <w:r w:rsidRPr="0036044B">
                    <w:rPr>
                      <w:bCs/>
                    </w:rPr>
                    <w:t>0.00</w:t>
                  </w:r>
                </w:p>
              </w:tc>
              <w:tc>
                <w:tcPr>
                  <w:tcW w:w="871" w:type="dxa"/>
                  <w:shd w:val="clear" w:color="auto" w:fill="D8D8D8"/>
                  <w:noWrap/>
                  <w:hideMark/>
                </w:tcPr>
                <w:p w14:paraId="6A8D1D3B" w14:textId="77777777" w:rsidR="009545F6" w:rsidRPr="0036044B" w:rsidRDefault="009545F6" w:rsidP="0036044B">
                  <w:pPr>
                    <w:jc w:val="right"/>
                    <w:rPr>
                      <w:bCs/>
                    </w:rPr>
                  </w:pPr>
                  <w:r w:rsidRPr="0036044B">
                    <w:rPr>
                      <w:bCs/>
                    </w:rPr>
                    <w:t>0.33</w:t>
                  </w:r>
                </w:p>
              </w:tc>
              <w:tc>
                <w:tcPr>
                  <w:tcW w:w="871" w:type="dxa"/>
                  <w:shd w:val="clear" w:color="auto" w:fill="D8D8D8"/>
                  <w:noWrap/>
                  <w:hideMark/>
                </w:tcPr>
                <w:p w14:paraId="42A74FC7" w14:textId="77777777" w:rsidR="009545F6" w:rsidRPr="0036044B" w:rsidRDefault="009545F6" w:rsidP="0036044B">
                  <w:pPr>
                    <w:jc w:val="right"/>
                    <w:rPr>
                      <w:bCs/>
                    </w:rPr>
                  </w:pPr>
                  <w:r w:rsidRPr="0036044B">
                    <w:rPr>
                      <w:bCs/>
                    </w:rPr>
                    <w:t>0.51</w:t>
                  </w:r>
                </w:p>
              </w:tc>
              <w:tc>
                <w:tcPr>
                  <w:tcW w:w="871" w:type="dxa"/>
                  <w:shd w:val="clear" w:color="auto" w:fill="D8D8D8"/>
                  <w:noWrap/>
                  <w:hideMark/>
                </w:tcPr>
                <w:p w14:paraId="27AC5BFD" w14:textId="77777777" w:rsidR="009545F6" w:rsidRPr="0036044B" w:rsidRDefault="009545F6" w:rsidP="0036044B">
                  <w:pPr>
                    <w:jc w:val="right"/>
                    <w:rPr>
                      <w:bCs/>
                    </w:rPr>
                  </w:pPr>
                  <w:r w:rsidRPr="0036044B">
                    <w:rPr>
                      <w:bCs/>
                    </w:rPr>
                    <w:t>0.51</w:t>
                  </w:r>
                </w:p>
              </w:tc>
              <w:tc>
                <w:tcPr>
                  <w:tcW w:w="871" w:type="dxa"/>
                  <w:shd w:val="clear" w:color="auto" w:fill="D8D8D8"/>
                  <w:noWrap/>
                  <w:hideMark/>
                </w:tcPr>
                <w:p w14:paraId="1A51B275" w14:textId="77777777" w:rsidR="009545F6" w:rsidRPr="0036044B" w:rsidRDefault="009545F6" w:rsidP="0036044B">
                  <w:pPr>
                    <w:jc w:val="right"/>
                    <w:rPr>
                      <w:bCs/>
                    </w:rPr>
                  </w:pPr>
                  <w:r w:rsidRPr="0036044B">
                    <w:rPr>
                      <w:bCs/>
                    </w:rPr>
                    <w:t>0.43</w:t>
                  </w:r>
                </w:p>
              </w:tc>
              <w:tc>
                <w:tcPr>
                  <w:tcW w:w="1657" w:type="dxa"/>
                  <w:gridSpan w:val="2"/>
                  <w:shd w:val="clear" w:color="auto" w:fill="D8D8D8"/>
                  <w:noWrap/>
                  <w:hideMark/>
                </w:tcPr>
                <w:p w14:paraId="4B37F929" w14:textId="77777777" w:rsidR="009545F6" w:rsidRPr="0036044B" w:rsidRDefault="009545F6" w:rsidP="0036044B">
                  <w:pPr>
                    <w:jc w:val="right"/>
                    <w:rPr>
                      <w:bCs/>
                    </w:rPr>
                  </w:pPr>
                  <w:r w:rsidRPr="0036044B">
                    <w:rPr>
                      <w:bCs/>
                    </w:rPr>
                    <w:t>0.40</w:t>
                  </w:r>
                </w:p>
              </w:tc>
            </w:tr>
            <w:tr w:rsidR="002B2AD7" w:rsidRPr="0036044B" w14:paraId="073EFCBD" w14:textId="77777777" w:rsidTr="009545F6">
              <w:trPr>
                <w:gridAfter w:val="2"/>
                <w:wAfter w:w="871" w:type="dxa"/>
                <w:trHeight w:val="330"/>
              </w:trPr>
              <w:tc>
                <w:tcPr>
                  <w:tcW w:w="2246" w:type="dxa"/>
                  <w:vMerge/>
                  <w:tcBorders>
                    <w:left w:val="nil"/>
                    <w:bottom w:val="nil"/>
                    <w:right w:val="nil"/>
                  </w:tcBorders>
                  <w:shd w:val="clear" w:color="auto" w:fill="5B9BD5"/>
                  <w:hideMark/>
                </w:tcPr>
                <w:p w14:paraId="6D3151F5" w14:textId="77777777" w:rsidR="009545F6" w:rsidRPr="0036044B" w:rsidRDefault="009545F6" w:rsidP="0036044B">
                  <w:pPr>
                    <w:rPr>
                      <w:b/>
                      <w:bCs/>
                    </w:rPr>
                  </w:pPr>
                </w:p>
              </w:tc>
              <w:tc>
                <w:tcPr>
                  <w:tcW w:w="1842" w:type="dxa"/>
                  <w:shd w:val="clear" w:color="auto" w:fill="auto"/>
                  <w:noWrap/>
                  <w:hideMark/>
                </w:tcPr>
                <w:p w14:paraId="1822056A" w14:textId="77777777" w:rsidR="009545F6" w:rsidRPr="0036044B" w:rsidRDefault="009545F6" w:rsidP="0036044B">
                  <w:pPr>
                    <w:rPr>
                      <w:bCs/>
                    </w:rPr>
                  </w:pPr>
                  <w:r w:rsidRPr="0036044B">
                    <w:rPr>
                      <w:bCs/>
                    </w:rPr>
                    <w:t>Impact cumulat %</w:t>
                  </w:r>
                </w:p>
              </w:tc>
              <w:tc>
                <w:tcPr>
                  <w:tcW w:w="870" w:type="dxa"/>
                  <w:shd w:val="clear" w:color="auto" w:fill="auto"/>
                  <w:noWrap/>
                  <w:hideMark/>
                </w:tcPr>
                <w:p w14:paraId="6C366C14" w14:textId="77777777" w:rsidR="009545F6" w:rsidRPr="0036044B" w:rsidRDefault="009545F6" w:rsidP="0036044B">
                  <w:pPr>
                    <w:jc w:val="right"/>
                    <w:rPr>
                      <w:bCs/>
                    </w:rPr>
                  </w:pPr>
                  <w:r w:rsidRPr="0036044B">
                    <w:rPr>
                      <w:bCs/>
                    </w:rPr>
                    <w:t>0.0%</w:t>
                  </w:r>
                </w:p>
              </w:tc>
              <w:tc>
                <w:tcPr>
                  <w:tcW w:w="871" w:type="dxa"/>
                  <w:shd w:val="clear" w:color="auto" w:fill="auto"/>
                  <w:noWrap/>
                  <w:hideMark/>
                </w:tcPr>
                <w:p w14:paraId="7EDD1A6C" w14:textId="77777777" w:rsidR="009545F6" w:rsidRPr="0036044B" w:rsidRDefault="009545F6" w:rsidP="0036044B">
                  <w:pPr>
                    <w:jc w:val="right"/>
                    <w:rPr>
                      <w:bCs/>
                    </w:rPr>
                  </w:pPr>
                  <w:r w:rsidRPr="0036044B">
                    <w:rPr>
                      <w:bCs/>
                    </w:rPr>
                    <w:t>0.1%</w:t>
                  </w:r>
                </w:p>
              </w:tc>
              <w:tc>
                <w:tcPr>
                  <w:tcW w:w="871" w:type="dxa"/>
                  <w:shd w:val="clear" w:color="auto" w:fill="auto"/>
                  <w:noWrap/>
                  <w:hideMark/>
                </w:tcPr>
                <w:p w14:paraId="034B9574" w14:textId="77777777" w:rsidR="009545F6" w:rsidRPr="0036044B" w:rsidRDefault="009545F6" w:rsidP="0036044B">
                  <w:pPr>
                    <w:jc w:val="right"/>
                    <w:rPr>
                      <w:bCs/>
                    </w:rPr>
                  </w:pPr>
                  <w:r w:rsidRPr="0036044B">
                    <w:rPr>
                      <w:bCs/>
                    </w:rPr>
                    <w:t>0.2%</w:t>
                  </w:r>
                </w:p>
              </w:tc>
              <w:tc>
                <w:tcPr>
                  <w:tcW w:w="871" w:type="dxa"/>
                  <w:shd w:val="clear" w:color="auto" w:fill="auto"/>
                  <w:noWrap/>
                  <w:hideMark/>
                </w:tcPr>
                <w:p w14:paraId="05B12C21" w14:textId="77777777" w:rsidR="009545F6" w:rsidRPr="0036044B" w:rsidRDefault="009545F6" w:rsidP="0036044B">
                  <w:pPr>
                    <w:jc w:val="right"/>
                    <w:rPr>
                      <w:bCs/>
                    </w:rPr>
                  </w:pPr>
                  <w:r w:rsidRPr="0036044B">
                    <w:rPr>
                      <w:bCs/>
                    </w:rPr>
                    <w:t>0.3%</w:t>
                  </w:r>
                </w:p>
              </w:tc>
              <w:tc>
                <w:tcPr>
                  <w:tcW w:w="871" w:type="dxa"/>
                  <w:shd w:val="clear" w:color="auto" w:fill="auto"/>
                  <w:noWrap/>
                  <w:hideMark/>
                </w:tcPr>
                <w:p w14:paraId="78F6AF2D" w14:textId="77777777" w:rsidR="009545F6" w:rsidRPr="0036044B" w:rsidRDefault="009545F6" w:rsidP="0036044B">
                  <w:pPr>
                    <w:jc w:val="right"/>
                    <w:rPr>
                      <w:bCs/>
                    </w:rPr>
                  </w:pPr>
                  <w:r w:rsidRPr="0036044B">
                    <w:rPr>
                      <w:bCs/>
                    </w:rPr>
                    <w:t>0.3%</w:t>
                  </w:r>
                </w:p>
              </w:tc>
              <w:tc>
                <w:tcPr>
                  <w:tcW w:w="1657" w:type="dxa"/>
                  <w:gridSpan w:val="2"/>
                  <w:shd w:val="clear" w:color="auto" w:fill="auto"/>
                  <w:noWrap/>
                  <w:hideMark/>
                </w:tcPr>
                <w:p w14:paraId="2AAB433B" w14:textId="77777777" w:rsidR="009545F6" w:rsidRPr="0036044B" w:rsidRDefault="009545F6" w:rsidP="0036044B">
                  <w:pPr>
                    <w:jc w:val="right"/>
                    <w:rPr>
                      <w:bCs/>
                    </w:rPr>
                  </w:pPr>
                  <w:r w:rsidRPr="0036044B">
                    <w:rPr>
                      <w:bCs/>
                    </w:rPr>
                    <w:t>0.4%</w:t>
                  </w:r>
                </w:p>
              </w:tc>
            </w:tr>
            <w:tr w:rsidR="002B2AD7" w:rsidRPr="0036044B" w14:paraId="3817EDA5" w14:textId="77777777" w:rsidTr="009545F6">
              <w:trPr>
                <w:gridAfter w:val="2"/>
                <w:wAfter w:w="871" w:type="dxa"/>
                <w:trHeight w:val="315"/>
              </w:trPr>
              <w:tc>
                <w:tcPr>
                  <w:tcW w:w="2246" w:type="dxa"/>
                  <w:tcBorders>
                    <w:left w:val="nil"/>
                    <w:bottom w:val="nil"/>
                    <w:right w:val="nil"/>
                  </w:tcBorders>
                  <w:shd w:val="clear" w:color="auto" w:fill="5B9BD5"/>
                  <w:hideMark/>
                </w:tcPr>
                <w:p w14:paraId="16728B05" w14:textId="77777777" w:rsidR="009545F6" w:rsidRPr="0036044B" w:rsidRDefault="009545F6" w:rsidP="0036044B">
                  <w:pPr>
                    <w:rPr>
                      <w:b/>
                      <w:bCs/>
                    </w:rPr>
                  </w:pPr>
                </w:p>
              </w:tc>
              <w:tc>
                <w:tcPr>
                  <w:tcW w:w="1842" w:type="dxa"/>
                  <w:shd w:val="clear" w:color="auto" w:fill="D8D8D8"/>
                  <w:noWrap/>
                  <w:hideMark/>
                </w:tcPr>
                <w:p w14:paraId="434C06AC" w14:textId="77777777" w:rsidR="009545F6" w:rsidRPr="0036044B" w:rsidRDefault="009545F6" w:rsidP="0036044B">
                  <w:pPr>
                    <w:rPr>
                      <w:rFonts w:eastAsia="Calibri"/>
                    </w:rPr>
                  </w:pPr>
                </w:p>
              </w:tc>
              <w:tc>
                <w:tcPr>
                  <w:tcW w:w="870" w:type="dxa"/>
                  <w:shd w:val="clear" w:color="auto" w:fill="D8D8D8"/>
                  <w:noWrap/>
                  <w:hideMark/>
                </w:tcPr>
                <w:p w14:paraId="56A8D5BE" w14:textId="77777777" w:rsidR="009545F6" w:rsidRPr="0036044B" w:rsidRDefault="009545F6" w:rsidP="0036044B">
                  <w:pPr>
                    <w:rPr>
                      <w:rFonts w:eastAsia="Calibri"/>
                    </w:rPr>
                  </w:pPr>
                </w:p>
              </w:tc>
              <w:tc>
                <w:tcPr>
                  <w:tcW w:w="871" w:type="dxa"/>
                  <w:shd w:val="clear" w:color="auto" w:fill="D8D8D8"/>
                  <w:noWrap/>
                  <w:hideMark/>
                </w:tcPr>
                <w:p w14:paraId="261CAB06" w14:textId="77777777" w:rsidR="009545F6" w:rsidRPr="0036044B" w:rsidRDefault="009545F6" w:rsidP="0036044B">
                  <w:pPr>
                    <w:rPr>
                      <w:rFonts w:eastAsia="Calibri"/>
                    </w:rPr>
                  </w:pPr>
                </w:p>
              </w:tc>
              <w:tc>
                <w:tcPr>
                  <w:tcW w:w="871" w:type="dxa"/>
                  <w:shd w:val="clear" w:color="auto" w:fill="D8D8D8"/>
                  <w:noWrap/>
                  <w:hideMark/>
                </w:tcPr>
                <w:p w14:paraId="34D9C638" w14:textId="77777777" w:rsidR="009545F6" w:rsidRPr="0036044B" w:rsidRDefault="009545F6" w:rsidP="0036044B">
                  <w:pPr>
                    <w:rPr>
                      <w:rFonts w:eastAsia="Calibri"/>
                    </w:rPr>
                  </w:pPr>
                </w:p>
              </w:tc>
              <w:tc>
                <w:tcPr>
                  <w:tcW w:w="871" w:type="dxa"/>
                  <w:shd w:val="clear" w:color="auto" w:fill="D8D8D8"/>
                  <w:noWrap/>
                  <w:hideMark/>
                </w:tcPr>
                <w:p w14:paraId="21961F4C" w14:textId="77777777" w:rsidR="009545F6" w:rsidRPr="0036044B" w:rsidRDefault="009545F6" w:rsidP="0036044B">
                  <w:pPr>
                    <w:rPr>
                      <w:rFonts w:eastAsia="Calibri"/>
                    </w:rPr>
                  </w:pPr>
                </w:p>
              </w:tc>
              <w:tc>
                <w:tcPr>
                  <w:tcW w:w="871" w:type="dxa"/>
                  <w:shd w:val="clear" w:color="auto" w:fill="D8D8D8"/>
                  <w:noWrap/>
                  <w:hideMark/>
                </w:tcPr>
                <w:p w14:paraId="173B6EFE" w14:textId="77777777" w:rsidR="009545F6" w:rsidRPr="0036044B" w:rsidRDefault="009545F6" w:rsidP="0036044B">
                  <w:pPr>
                    <w:rPr>
                      <w:rFonts w:eastAsia="Calibri"/>
                    </w:rPr>
                  </w:pPr>
                </w:p>
              </w:tc>
              <w:tc>
                <w:tcPr>
                  <w:tcW w:w="1657" w:type="dxa"/>
                  <w:gridSpan w:val="2"/>
                  <w:shd w:val="clear" w:color="auto" w:fill="D8D8D8"/>
                  <w:noWrap/>
                  <w:hideMark/>
                </w:tcPr>
                <w:p w14:paraId="5E1DCB95" w14:textId="77777777" w:rsidR="009545F6" w:rsidRPr="0036044B" w:rsidRDefault="009545F6" w:rsidP="0036044B">
                  <w:pPr>
                    <w:rPr>
                      <w:rFonts w:eastAsia="Calibri"/>
                    </w:rPr>
                  </w:pPr>
                </w:p>
              </w:tc>
            </w:tr>
            <w:tr w:rsidR="002B2AD7" w:rsidRPr="0036044B" w14:paraId="066F4DD5" w14:textId="77777777" w:rsidTr="009545F6">
              <w:trPr>
                <w:gridAfter w:val="2"/>
                <w:wAfter w:w="871" w:type="dxa"/>
                <w:trHeight w:val="330"/>
              </w:trPr>
              <w:tc>
                <w:tcPr>
                  <w:tcW w:w="2246" w:type="dxa"/>
                  <w:vMerge w:val="restart"/>
                  <w:tcBorders>
                    <w:left w:val="nil"/>
                    <w:bottom w:val="nil"/>
                    <w:right w:val="nil"/>
                  </w:tcBorders>
                  <w:shd w:val="clear" w:color="auto" w:fill="5B9BD5"/>
                  <w:hideMark/>
                </w:tcPr>
                <w:p w14:paraId="0904969B" w14:textId="77777777" w:rsidR="009545F6" w:rsidRPr="0036044B" w:rsidRDefault="009545F6" w:rsidP="0036044B">
                  <w:pPr>
                    <w:rPr>
                      <w:b/>
                      <w:bCs/>
                    </w:rPr>
                  </w:pPr>
                  <w:r w:rsidRPr="0036044B">
                    <w:rPr>
                      <w:b/>
                      <w:bCs/>
                    </w:rPr>
                    <w:t xml:space="preserve">C6 - Energie </w:t>
                  </w:r>
                </w:p>
              </w:tc>
              <w:tc>
                <w:tcPr>
                  <w:tcW w:w="1842" w:type="dxa"/>
                  <w:shd w:val="clear" w:color="auto" w:fill="auto"/>
                  <w:noWrap/>
                  <w:hideMark/>
                </w:tcPr>
                <w:p w14:paraId="10126C9D" w14:textId="77777777" w:rsidR="009545F6" w:rsidRPr="0036044B" w:rsidRDefault="009545F6" w:rsidP="0036044B">
                  <w:pPr>
                    <w:rPr>
                      <w:bCs/>
                    </w:rPr>
                  </w:pPr>
                  <w:r w:rsidRPr="0036044B">
                    <w:rPr>
                      <w:bCs/>
                    </w:rPr>
                    <w:t>Finanțare mld euro</w:t>
                  </w:r>
                </w:p>
              </w:tc>
              <w:tc>
                <w:tcPr>
                  <w:tcW w:w="870" w:type="dxa"/>
                  <w:shd w:val="clear" w:color="auto" w:fill="auto"/>
                  <w:noWrap/>
                  <w:hideMark/>
                </w:tcPr>
                <w:p w14:paraId="2DDD6E45" w14:textId="77777777" w:rsidR="009545F6" w:rsidRPr="0036044B" w:rsidRDefault="009545F6" w:rsidP="0036044B">
                  <w:pPr>
                    <w:jc w:val="right"/>
                    <w:rPr>
                      <w:bCs/>
                    </w:rPr>
                  </w:pPr>
                  <w:r w:rsidRPr="0036044B">
                    <w:rPr>
                      <w:bCs/>
                    </w:rPr>
                    <w:t>0.00</w:t>
                  </w:r>
                </w:p>
              </w:tc>
              <w:tc>
                <w:tcPr>
                  <w:tcW w:w="871" w:type="dxa"/>
                  <w:shd w:val="clear" w:color="auto" w:fill="auto"/>
                  <w:noWrap/>
                  <w:hideMark/>
                </w:tcPr>
                <w:p w14:paraId="22DC1F7D" w14:textId="77777777" w:rsidR="009545F6" w:rsidRPr="0036044B" w:rsidRDefault="009545F6" w:rsidP="0036044B">
                  <w:pPr>
                    <w:jc w:val="right"/>
                    <w:rPr>
                      <w:bCs/>
                    </w:rPr>
                  </w:pPr>
                  <w:r w:rsidRPr="0036044B">
                    <w:rPr>
                      <w:bCs/>
                    </w:rPr>
                    <w:t>0.31</w:t>
                  </w:r>
                </w:p>
              </w:tc>
              <w:tc>
                <w:tcPr>
                  <w:tcW w:w="871" w:type="dxa"/>
                  <w:shd w:val="clear" w:color="auto" w:fill="auto"/>
                  <w:noWrap/>
                  <w:hideMark/>
                </w:tcPr>
                <w:p w14:paraId="71B0D0C1" w14:textId="77777777" w:rsidR="009545F6" w:rsidRPr="0036044B" w:rsidRDefault="009545F6" w:rsidP="0036044B">
                  <w:pPr>
                    <w:jc w:val="right"/>
                    <w:rPr>
                      <w:bCs/>
                    </w:rPr>
                  </w:pPr>
                  <w:r w:rsidRPr="0036044B">
                    <w:rPr>
                      <w:bCs/>
                    </w:rPr>
                    <w:t>0.31</w:t>
                  </w:r>
                </w:p>
              </w:tc>
              <w:tc>
                <w:tcPr>
                  <w:tcW w:w="871" w:type="dxa"/>
                  <w:shd w:val="clear" w:color="auto" w:fill="auto"/>
                  <w:noWrap/>
                  <w:hideMark/>
                </w:tcPr>
                <w:p w14:paraId="27456DDB" w14:textId="77777777" w:rsidR="009545F6" w:rsidRPr="0036044B" w:rsidRDefault="009545F6" w:rsidP="0036044B">
                  <w:pPr>
                    <w:jc w:val="right"/>
                    <w:rPr>
                      <w:bCs/>
                    </w:rPr>
                  </w:pPr>
                  <w:r w:rsidRPr="0036044B">
                    <w:rPr>
                      <w:bCs/>
                    </w:rPr>
                    <w:t>0.31</w:t>
                  </w:r>
                </w:p>
              </w:tc>
              <w:tc>
                <w:tcPr>
                  <w:tcW w:w="871" w:type="dxa"/>
                  <w:shd w:val="clear" w:color="auto" w:fill="auto"/>
                  <w:noWrap/>
                  <w:hideMark/>
                </w:tcPr>
                <w:p w14:paraId="2D943A35" w14:textId="77777777" w:rsidR="009545F6" w:rsidRPr="0036044B" w:rsidRDefault="009545F6" w:rsidP="0036044B">
                  <w:pPr>
                    <w:jc w:val="right"/>
                    <w:rPr>
                      <w:bCs/>
                    </w:rPr>
                  </w:pPr>
                  <w:r w:rsidRPr="0036044B">
                    <w:rPr>
                      <w:bCs/>
                    </w:rPr>
                    <w:t>0.31</w:t>
                  </w:r>
                </w:p>
              </w:tc>
              <w:tc>
                <w:tcPr>
                  <w:tcW w:w="1657" w:type="dxa"/>
                  <w:gridSpan w:val="2"/>
                  <w:shd w:val="clear" w:color="auto" w:fill="auto"/>
                  <w:noWrap/>
                  <w:hideMark/>
                </w:tcPr>
                <w:p w14:paraId="2A89E051" w14:textId="77777777" w:rsidR="009545F6" w:rsidRPr="0036044B" w:rsidRDefault="009545F6" w:rsidP="0036044B">
                  <w:pPr>
                    <w:jc w:val="right"/>
                    <w:rPr>
                      <w:bCs/>
                    </w:rPr>
                  </w:pPr>
                  <w:r w:rsidRPr="0036044B">
                    <w:rPr>
                      <w:bCs/>
                    </w:rPr>
                    <w:t>0.31</w:t>
                  </w:r>
                </w:p>
              </w:tc>
            </w:tr>
            <w:tr w:rsidR="002B2AD7" w:rsidRPr="0036044B" w14:paraId="2B01751A" w14:textId="77777777" w:rsidTr="009545F6">
              <w:trPr>
                <w:gridAfter w:val="2"/>
                <w:wAfter w:w="871" w:type="dxa"/>
                <w:trHeight w:val="330"/>
              </w:trPr>
              <w:tc>
                <w:tcPr>
                  <w:tcW w:w="2246" w:type="dxa"/>
                  <w:vMerge/>
                  <w:tcBorders>
                    <w:left w:val="nil"/>
                    <w:bottom w:val="nil"/>
                    <w:right w:val="nil"/>
                  </w:tcBorders>
                  <w:shd w:val="clear" w:color="auto" w:fill="5B9BD5"/>
                  <w:hideMark/>
                </w:tcPr>
                <w:p w14:paraId="7709A603" w14:textId="77777777" w:rsidR="009545F6" w:rsidRPr="0036044B" w:rsidRDefault="009545F6" w:rsidP="0036044B">
                  <w:pPr>
                    <w:rPr>
                      <w:b/>
                      <w:bCs/>
                    </w:rPr>
                  </w:pPr>
                </w:p>
              </w:tc>
              <w:tc>
                <w:tcPr>
                  <w:tcW w:w="1842" w:type="dxa"/>
                  <w:shd w:val="clear" w:color="auto" w:fill="D8D8D8"/>
                  <w:noWrap/>
                  <w:hideMark/>
                </w:tcPr>
                <w:p w14:paraId="4832C5CA" w14:textId="77777777" w:rsidR="009545F6" w:rsidRPr="0036044B" w:rsidRDefault="009545F6" w:rsidP="0036044B">
                  <w:pPr>
                    <w:rPr>
                      <w:bCs/>
                    </w:rPr>
                  </w:pPr>
                  <w:r w:rsidRPr="0036044B">
                    <w:rPr>
                      <w:bCs/>
                    </w:rPr>
                    <w:t>Impact cumulat %</w:t>
                  </w:r>
                </w:p>
              </w:tc>
              <w:tc>
                <w:tcPr>
                  <w:tcW w:w="870" w:type="dxa"/>
                  <w:shd w:val="clear" w:color="auto" w:fill="D8D8D8"/>
                  <w:noWrap/>
                  <w:hideMark/>
                </w:tcPr>
                <w:p w14:paraId="5EDAA43B" w14:textId="77777777" w:rsidR="009545F6" w:rsidRPr="0036044B" w:rsidRDefault="009545F6" w:rsidP="0036044B">
                  <w:pPr>
                    <w:jc w:val="right"/>
                    <w:rPr>
                      <w:bCs/>
                    </w:rPr>
                  </w:pPr>
                  <w:r w:rsidRPr="0036044B">
                    <w:rPr>
                      <w:bCs/>
                    </w:rPr>
                    <w:t>0.0%</w:t>
                  </w:r>
                </w:p>
              </w:tc>
              <w:tc>
                <w:tcPr>
                  <w:tcW w:w="871" w:type="dxa"/>
                  <w:shd w:val="clear" w:color="auto" w:fill="D8D8D8"/>
                  <w:noWrap/>
                  <w:hideMark/>
                </w:tcPr>
                <w:p w14:paraId="04DB6113" w14:textId="77777777" w:rsidR="009545F6" w:rsidRPr="0036044B" w:rsidRDefault="009545F6" w:rsidP="0036044B">
                  <w:pPr>
                    <w:jc w:val="right"/>
                    <w:rPr>
                      <w:bCs/>
                    </w:rPr>
                  </w:pPr>
                  <w:r w:rsidRPr="0036044B">
                    <w:rPr>
                      <w:bCs/>
                    </w:rPr>
                    <w:t>0.1%</w:t>
                  </w:r>
                </w:p>
              </w:tc>
              <w:tc>
                <w:tcPr>
                  <w:tcW w:w="871" w:type="dxa"/>
                  <w:shd w:val="clear" w:color="auto" w:fill="D8D8D8"/>
                  <w:noWrap/>
                  <w:hideMark/>
                </w:tcPr>
                <w:p w14:paraId="6F27D01E" w14:textId="77777777" w:rsidR="009545F6" w:rsidRPr="0036044B" w:rsidRDefault="009545F6" w:rsidP="0036044B">
                  <w:pPr>
                    <w:jc w:val="right"/>
                    <w:rPr>
                      <w:bCs/>
                    </w:rPr>
                  </w:pPr>
                  <w:r w:rsidRPr="0036044B">
                    <w:rPr>
                      <w:bCs/>
                    </w:rPr>
                    <w:t>0.1%</w:t>
                  </w:r>
                </w:p>
              </w:tc>
              <w:tc>
                <w:tcPr>
                  <w:tcW w:w="871" w:type="dxa"/>
                  <w:shd w:val="clear" w:color="auto" w:fill="D8D8D8"/>
                  <w:noWrap/>
                  <w:hideMark/>
                </w:tcPr>
                <w:p w14:paraId="65681445" w14:textId="77777777" w:rsidR="009545F6" w:rsidRPr="0036044B" w:rsidRDefault="009545F6" w:rsidP="0036044B">
                  <w:pPr>
                    <w:jc w:val="right"/>
                    <w:rPr>
                      <w:bCs/>
                    </w:rPr>
                  </w:pPr>
                  <w:r w:rsidRPr="0036044B">
                    <w:rPr>
                      <w:bCs/>
                    </w:rPr>
                    <w:t>0.2%</w:t>
                  </w:r>
                </w:p>
              </w:tc>
              <w:tc>
                <w:tcPr>
                  <w:tcW w:w="871" w:type="dxa"/>
                  <w:shd w:val="clear" w:color="auto" w:fill="D8D8D8"/>
                  <w:noWrap/>
                  <w:hideMark/>
                </w:tcPr>
                <w:p w14:paraId="64DE8131" w14:textId="77777777" w:rsidR="009545F6" w:rsidRPr="0036044B" w:rsidRDefault="009545F6" w:rsidP="0036044B">
                  <w:pPr>
                    <w:jc w:val="right"/>
                    <w:rPr>
                      <w:bCs/>
                    </w:rPr>
                  </w:pPr>
                  <w:r w:rsidRPr="0036044B">
                    <w:rPr>
                      <w:bCs/>
                    </w:rPr>
                    <w:t>0.2%</w:t>
                  </w:r>
                </w:p>
              </w:tc>
              <w:tc>
                <w:tcPr>
                  <w:tcW w:w="1657" w:type="dxa"/>
                  <w:gridSpan w:val="2"/>
                  <w:shd w:val="clear" w:color="auto" w:fill="D8D8D8"/>
                  <w:noWrap/>
                  <w:hideMark/>
                </w:tcPr>
                <w:p w14:paraId="470F24BE" w14:textId="77777777" w:rsidR="009545F6" w:rsidRPr="0036044B" w:rsidRDefault="009545F6" w:rsidP="0036044B">
                  <w:pPr>
                    <w:jc w:val="right"/>
                    <w:rPr>
                      <w:bCs/>
                    </w:rPr>
                  </w:pPr>
                  <w:r w:rsidRPr="0036044B">
                    <w:rPr>
                      <w:bCs/>
                    </w:rPr>
                    <w:t>0.3%</w:t>
                  </w:r>
                </w:p>
              </w:tc>
            </w:tr>
            <w:tr w:rsidR="002B2AD7" w:rsidRPr="0036044B" w14:paraId="615928F0" w14:textId="77777777" w:rsidTr="009545F6">
              <w:trPr>
                <w:gridAfter w:val="2"/>
                <w:wAfter w:w="871" w:type="dxa"/>
                <w:trHeight w:val="315"/>
              </w:trPr>
              <w:tc>
                <w:tcPr>
                  <w:tcW w:w="2246" w:type="dxa"/>
                  <w:tcBorders>
                    <w:left w:val="nil"/>
                    <w:bottom w:val="nil"/>
                    <w:right w:val="nil"/>
                  </w:tcBorders>
                  <w:shd w:val="clear" w:color="auto" w:fill="5B9BD5"/>
                  <w:hideMark/>
                </w:tcPr>
                <w:p w14:paraId="71F62562" w14:textId="77777777" w:rsidR="009545F6" w:rsidRPr="0036044B" w:rsidRDefault="009545F6" w:rsidP="0036044B">
                  <w:pPr>
                    <w:rPr>
                      <w:b/>
                      <w:bCs/>
                    </w:rPr>
                  </w:pPr>
                </w:p>
              </w:tc>
              <w:tc>
                <w:tcPr>
                  <w:tcW w:w="1842" w:type="dxa"/>
                  <w:shd w:val="clear" w:color="auto" w:fill="auto"/>
                  <w:noWrap/>
                  <w:hideMark/>
                </w:tcPr>
                <w:p w14:paraId="0B05109F" w14:textId="77777777" w:rsidR="009545F6" w:rsidRPr="0036044B" w:rsidRDefault="009545F6" w:rsidP="0036044B">
                  <w:pPr>
                    <w:rPr>
                      <w:rFonts w:eastAsia="Calibri"/>
                    </w:rPr>
                  </w:pPr>
                </w:p>
              </w:tc>
              <w:tc>
                <w:tcPr>
                  <w:tcW w:w="870" w:type="dxa"/>
                  <w:shd w:val="clear" w:color="auto" w:fill="auto"/>
                  <w:noWrap/>
                  <w:hideMark/>
                </w:tcPr>
                <w:p w14:paraId="5C5B6C84" w14:textId="77777777" w:rsidR="009545F6" w:rsidRPr="0036044B" w:rsidRDefault="009545F6" w:rsidP="0036044B">
                  <w:pPr>
                    <w:rPr>
                      <w:rFonts w:eastAsia="Calibri"/>
                    </w:rPr>
                  </w:pPr>
                </w:p>
              </w:tc>
              <w:tc>
                <w:tcPr>
                  <w:tcW w:w="871" w:type="dxa"/>
                  <w:shd w:val="clear" w:color="auto" w:fill="auto"/>
                  <w:noWrap/>
                  <w:hideMark/>
                </w:tcPr>
                <w:p w14:paraId="3A5EEC1B" w14:textId="77777777" w:rsidR="009545F6" w:rsidRPr="0036044B" w:rsidRDefault="009545F6" w:rsidP="0036044B">
                  <w:pPr>
                    <w:rPr>
                      <w:rFonts w:eastAsia="Calibri"/>
                    </w:rPr>
                  </w:pPr>
                </w:p>
              </w:tc>
              <w:tc>
                <w:tcPr>
                  <w:tcW w:w="871" w:type="dxa"/>
                  <w:shd w:val="clear" w:color="auto" w:fill="auto"/>
                  <w:noWrap/>
                  <w:hideMark/>
                </w:tcPr>
                <w:p w14:paraId="66948DB7" w14:textId="77777777" w:rsidR="009545F6" w:rsidRPr="0036044B" w:rsidRDefault="009545F6" w:rsidP="0036044B">
                  <w:pPr>
                    <w:rPr>
                      <w:rFonts w:eastAsia="Calibri"/>
                    </w:rPr>
                  </w:pPr>
                </w:p>
              </w:tc>
              <w:tc>
                <w:tcPr>
                  <w:tcW w:w="871" w:type="dxa"/>
                  <w:shd w:val="clear" w:color="auto" w:fill="auto"/>
                  <w:noWrap/>
                  <w:hideMark/>
                </w:tcPr>
                <w:p w14:paraId="6C0D9160" w14:textId="77777777" w:rsidR="009545F6" w:rsidRPr="0036044B" w:rsidRDefault="009545F6" w:rsidP="0036044B">
                  <w:pPr>
                    <w:rPr>
                      <w:rFonts w:eastAsia="Calibri"/>
                    </w:rPr>
                  </w:pPr>
                </w:p>
              </w:tc>
              <w:tc>
                <w:tcPr>
                  <w:tcW w:w="871" w:type="dxa"/>
                  <w:shd w:val="clear" w:color="auto" w:fill="auto"/>
                  <w:noWrap/>
                  <w:hideMark/>
                </w:tcPr>
                <w:p w14:paraId="5F8EFF4B" w14:textId="77777777" w:rsidR="009545F6" w:rsidRPr="0036044B" w:rsidRDefault="009545F6" w:rsidP="0036044B">
                  <w:pPr>
                    <w:rPr>
                      <w:rFonts w:eastAsia="Calibri"/>
                    </w:rPr>
                  </w:pPr>
                </w:p>
              </w:tc>
              <w:tc>
                <w:tcPr>
                  <w:tcW w:w="1657" w:type="dxa"/>
                  <w:gridSpan w:val="2"/>
                  <w:shd w:val="clear" w:color="auto" w:fill="auto"/>
                  <w:noWrap/>
                  <w:hideMark/>
                </w:tcPr>
                <w:p w14:paraId="0BE4BDFC" w14:textId="77777777" w:rsidR="009545F6" w:rsidRPr="0036044B" w:rsidRDefault="009545F6" w:rsidP="0036044B">
                  <w:pPr>
                    <w:rPr>
                      <w:rFonts w:eastAsia="Calibri"/>
                    </w:rPr>
                  </w:pPr>
                </w:p>
              </w:tc>
            </w:tr>
            <w:tr w:rsidR="002B2AD7" w:rsidRPr="0036044B" w14:paraId="0794942F" w14:textId="77777777" w:rsidTr="009545F6">
              <w:trPr>
                <w:gridAfter w:val="2"/>
                <w:wAfter w:w="871" w:type="dxa"/>
                <w:trHeight w:val="330"/>
              </w:trPr>
              <w:tc>
                <w:tcPr>
                  <w:tcW w:w="2246" w:type="dxa"/>
                  <w:vMerge w:val="restart"/>
                  <w:tcBorders>
                    <w:left w:val="nil"/>
                    <w:bottom w:val="nil"/>
                    <w:right w:val="nil"/>
                  </w:tcBorders>
                  <w:shd w:val="clear" w:color="auto" w:fill="5B9BD5"/>
                  <w:hideMark/>
                </w:tcPr>
                <w:p w14:paraId="34846876" w14:textId="77777777" w:rsidR="009545F6" w:rsidRPr="0036044B" w:rsidRDefault="009545F6" w:rsidP="0036044B">
                  <w:pPr>
                    <w:rPr>
                      <w:b/>
                      <w:bCs/>
                    </w:rPr>
                  </w:pPr>
                  <w:r w:rsidRPr="0036044B">
                    <w:rPr>
                      <w:b/>
                      <w:bCs/>
                    </w:rPr>
                    <w:t>C7 – Transformare digitală</w:t>
                  </w:r>
                </w:p>
              </w:tc>
              <w:tc>
                <w:tcPr>
                  <w:tcW w:w="1842" w:type="dxa"/>
                  <w:shd w:val="clear" w:color="auto" w:fill="D8D8D8"/>
                  <w:noWrap/>
                  <w:hideMark/>
                </w:tcPr>
                <w:p w14:paraId="56A85893" w14:textId="77777777" w:rsidR="009545F6" w:rsidRPr="0036044B" w:rsidRDefault="009545F6" w:rsidP="0036044B">
                  <w:pPr>
                    <w:rPr>
                      <w:bCs/>
                    </w:rPr>
                  </w:pPr>
                  <w:r w:rsidRPr="0036044B">
                    <w:rPr>
                      <w:bCs/>
                    </w:rPr>
                    <w:t>Finanțare mld euro</w:t>
                  </w:r>
                </w:p>
              </w:tc>
              <w:tc>
                <w:tcPr>
                  <w:tcW w:w="870" w:type="dxa"/>
                  <w:shd w:val="clear" w:color="auto" w:fill="D8D8D8"/>
                  <w:noWrap/>
                  <w:hideMark/>
                </w:tcPr>
                <w:p w14:paraId="135AD3D9" w14:textId="77777777" w:rsidR="009545F6" w:rsidRPr="0036044B" w:rsidRDefault="009545F6" w:rsidP="0036044B">
                  <w:pPr>
                    <w:jc w:val="right"/>
                    <w:rPr>
                      <w:bCs/>
                    </w:rPr>
                  </w:pPr>
                  <w:r w:rsidRPr="0036044B">
                    <w:rPr>
                      <w:bCs/>
                    </w:rPr>
                    <w:t>0.02</w:t>
                  </w:r>
                </w:p>
              </w:tc>
              <w:tc>
                <w:tcPr>
                  <w:tcW w:w="871" w:type="dxa"/>
                  <w:shd w:val="clear" w:color="auto" w:fill="D8D8D8"/>
                  <w:noWrap/>
                  <w:hideMark/>
                </w:tcPr>
                <w:p w14:paraId="1E7DFA82" w14:textId="77777777" w:rsidR="009545F6" w:rsidRPr="0036044B" w:rsidRDefault="009545F6" w:rsidP="0036044B">
                  <w:pPr>
                    <w:jc w:val="right"/>
                    <w:rPr>
                      <w:bCs/>
                    </w:rPr>
                  </w:pPr>
                  <w:r w:rsidRPr="0036044B">
                    <w:rPr>
                      <w:bCs/>
                    </w:rPr>
                    <w:t>0.22</w:t>
                  </w:r>
                </w:p>
              </w:tc>
              <w:tc>
                <w:tcPr>
                  <w:tcW w:w="871" w:type="dxa"/>
                  <w:shd w:val="clear" w:color="auto" w:fill="D8D8D8"/>
                  <w:noWrap/>
                  <w:hideMark/>
                </w:tcPr>
                <w:p w14:paraId="62001C6D" w14:textId="77777777" w:rsidR="009545F6" w:rsidRPr="0036044B" w:rsidRDefault="009545F6" w:rsidP="0036044B">
                  <w:pPr>
                    <w:jc w:val="right"/>
                    <w:rPr>
                      <w:bCs/>
                    </w:rPr>
                  </w:pPr>
                  <w:r w:rsidRPr="0036044B">
                    <w:rPr>
                      <w:bCs/>
                    </w:rPr>
                    <w:t>0.60</w:t>
                  </w:r>
                </w:p>
              </w:tc>
              <w:tc>
                <w:tcPr>
                  <w:tcW w:w="871" w:type="dxa"/>
                  <w:shd w:val="clear" w:color="auto" w:fill="D8D8D8"/>
                  <w:noWrap/>
                  <w:hideMark/>
                </w:tcPr>
                <w:p w14:paraId="394F5B36" w14:textId="77777777" w:rsidR="009545F6" w:rsidRPr="0036044B" w:rsidRDefault="009545F6" w:rsidP="0036044B">
                  <w:pPr>
                    <w:jc w:val="right"/>
                    <w:rPr>
                      <w:bCs/>
                    </w:rPr>
                  </w:pPr>
                  <w:r w:rsidRPr="0036044B">
                    <w:rPr>
                      <w:bCs/>
                    </w:rPr>
                    <w:t>0.60</w:t>
                  </w:r>
                </w:p>
              </w:tc>
              <w:tc>
                <w:tcPr>
                  <w:tcW w:w="871" w:type="dxa"/>
                  <w:shd w:val="clear" w:color="auto" w:fill="D8D8D8"/>
                  <w:noWrap/>
                  <w:hideMark/>
                </w:tcPr>
                <w:p w14:paraId="346B09C0" w14:textId="77777777" w:rsidR="009545F6" w:rsidRPr="0036044B" w:rsidRDefault="009545F6" w:rsidP="0036044B">
                  <w:pPr>
                    <w:jc w:val="right"/>
                    <w:rPr>
                      <w:bCs/>
                    </w:rPr>
                  </w:pPr>
                  <w:r w:rsidRPr="0036044B">
                    <w:rPr>
                      <w:bCs/>
                    </w:rPr>
                    <w:t>0.31</w:t>
                  </w:r>
                </w:p>
              </w:tc>
              <w:tc>
                <w:tcPr>
                  <w:tcW w:w="1657" w:type="dxa"/>
                  <w:gridSpan w:val="2"/>
                  <w:shd w:val="clear" w:color="auto" w:fill="D8D8D8"/>
                  <w:noWrap/>
                  <w:hideMark/>
                </w:tcPr>
                <w:p w14:paraId="0961CA25" w14:textId="77777777" w:rsidR="009545F6" w:rsidRPr="0036044B" w:rsidRDefault="009545F6" w:rsidP="0036044B">
                  <w:pPr>
                    <w:jc w:val="right"/>
                    <w:rPr>
                      <w:bCs/>
                    </w:rPr>
                  </w:pPr>
                  <w:r w:rsidRPr="0036044B">
                    <w:rPr>
                      <w:bCs/>
                    </w:rPr>
                    <w:t>0.13</w:t>
                  </w:r>
                </w:p>
              </w:tc>
            </w:tr>
            <w:tr w:rsidR="002B2AD7" w:rsidRPr="0036044B" w14:paraId="3DB2964E" w14:textId="77777777" w:rsidTr="009545F6">
              <w:trPr>
                <w:gridAfter w:val="2"/>
                <w:wAfter w:w="871" w:type="dxa"/>
                <w:trHeight w:val="330"/>
              </w:trPr>
              <w:tc>
                <w:tcPr>
                  <w:tcW w:w="2246" w:type="dxa"/>
                  <w:vMerge/>
                  <w:tcBorders>
                    <w:left w:val="nil"/>
                    <w:bottom w:val="nil"/>
                    <w:right w:val="nil"/>
                  </w:tcBorders>
                  <w:shd w:val="clear" w:color="auto" w:fill="5B9BD5"/>
                  <w:hideMark/>
                </w:tcPr>
                <w:p w14:paraId="6A057F07" w14:textId="77777777" w:rsidR="009545F6" w:rsidRPr="0036044B" w:rsidRDefault="009545F6" w:rsidP="0036044B">
                  <w:pPr>
                    <w:rPr>
                      <w:b/>
                      <w:bCs/>
                    </w:rPr>
                  </w:pPr>
                </w:p>
              </w:tc>
              <w:tc>
                <w:tcPr>
                  <w:tcW w:w="1842" w:type="dxa"/>
                  <w:shd w:val="clear" w:color="auto" w:fill="auto"/>
                  <w:noWrap/>
                  <w:hideMark/>
                </w:tcPr>
                <w:p w14:paraId="6FE712F8" w14:textId="77777777" w:rsidR="009545F6" w:rsidRPr="0036044B" w:rsidRDefault="009545F6" w:rsidP="0036044B">
                  <w:pPr>
                    <w:rPr>
                      <w:bCs/>
                    </w:rPr>
                  </w:pPr>
                  <w:r w:rsidRPr="0036044B">
                    <w:rPr>
                      <w:bCs/>
                    </w:rPr>
                    <w:t>Impact cumulat %</w:t>
                  </w:r>
                </w:p>
              </w:tc>
              <w:tc>
                <w:tcPr>
                  <w:tcW w:w="870" w:type="dxa"/>
                  <w:shd w:val="clear" w:color="auto" w:fill="auto"/>
                  <w:noWrap/>
                  <w:hideMark/>
                </w:tcPr>
                <w:p w14:paraId="0ECFB5B9" w14:textId="77777777" w:rsidR="009545F6" w:rsidRPr="0036044B" w:rsidRDefault="009545F6" w:rsidP="0036044B">
                  <w:pPr>
                    <w:jc w:val="right"/>
                    <w:rPr>
                      <w:bCs/>
                    </w:rPr>
                  </w:pPr>
                  <w:r w:rsidRPr="0036044B">
                    <w:rPr>
                      <w:bCs/>
                    </w:rPr>
                    <w:t>0.0%</w:t>
                  </w:r>
                </w:p>
              </w:tc>
              <w:tc>
                <w:tcPr>
                  <w:tcW w:w="871" w:type="dxa"/>
                  <w:shd w:val="clear" w:color="auto" w:fill="auto"/>
                  <w:noWrap/>
                  <w:hideMark/>
                </w:tcPr>
                <w:p w14:paraId="517B36F9" w14:textId="77777777" w:rsidR="009545F6" w:rsidRPr="0036044B" w:rsidRDefault="009545F6" w:rsidP="0036044B">
                  <w:pPr>
                    <w:jc w:val="right"/>
                    <w:rPr>
                      <w:bCs/>
                    </w:rPr>
                  </w:pPr>
                  <w:r w:rsidRPr="0036044B">
                    <w:rPr>
                      <w:bCs/>
                    </w:rPr>
                    <w:t>0.1%</w:t>
                  </w:r>
                </w:p>
              </w:tc>
              <w:tc>
                <w:tcPr>
                  <w:tcW w:w="871" w:type="dxa"/>
                  <w:shd w:val="clear" w:color="auto" w:fill="auto"/>
                  <w:noWrap/>
                  <w:hideMark/>
                </w:tcPr>
                <w:p w14:paraId="7EF8D435" w14:textId="77777777" w:rsidR="009545F6" w:rsidRPr="0036044B" w:rsidRDefault="009545F6" w:rsidP="0036044B">
                  <w:pPr>
                    <w:jc w:val="right"/>
                    <w:rPr>
                      <w:bCs/>
                    </w:rPr>
                  </w:pPr>
                  <w:r w:rsidRPr="0036044B">
                    <w:rPr>
                      <w:bCs/>
                    </w:rPr>
                    <w:t>0.2%</w:t>
                  </w:r>
                </w:p>
              </w:tc>
              <w:tc>
                <w:tcPr>
                  <w:tcW w:w="871" w:type="dxa"/>
                  <w:shd w:val="clear" w:color="auto" w:fill="auto"/>
                  <w:noWrap/>
                  <w:hideMark/>
                </w:tcPr>
                <w:p w14:paraId="2AF1E8B8" w14:textId="77777777" w:rsidR="009545F6" w:rsidRPr="0036044B" w:rsidRDefault="009545F6" w:rsidP="0036044B">
                  <w:pPr>
                    <w:jc w:val="right"/>
                    <w:rPr>
                      <w:bCs/>
                    </w:rPr>
                  </w:pPr>
                  <w:r w:rsidRPr="0036044B">
                    <w:rPr>
                      <w:bCs/>
                    </w:rPr>
                    <w:t>0.4%</w:t>
                  </w:r>
                </w:p>
              </w:tc>
              <w:tc>
                <w:tcPr>
                  <w:tcW w:w="871" w:type="dxa"/>
                  <w:shd w:val="clear" w:color="auto" w:fill="auto"/>
                  <w:noWrap/>
                  <w:hideMark/>
                </w:tcPr>
                <w:p w14:paraId="1D79B13D" w14:textId="77777777" w:rsidR="009545F6" w:rsidRPr="0036044B" w:rsidRDefault="009545F6" w:rsidP="0036044B">
                  <w:pPr>
                    <w:jc w:val="right"/>
                    <w:rPr>
                      <w:bCs/>
                    </w:rPr>
                  </w:pPr>
                  <w:r w:rsidRPr="0036044B">
                    <w:rPr>
                      <w:bCs/>
                    </w:rPr>
                    <w:t>0.4%</w:t>
                  </w:r>
                </w:p>
              </w:tc>
              <w:tc>
                <w:tcPr>
                  <w:tcW w:w="1657" w:type="dxa"/>
                  <w:gridSpan w:val="2"/>
                  <w:shd w:val="clear" w:color="auto" w:fill="auto"/>
                  <w:noWrap/>
                  <w:hideMark/>
                </w:tcPr>
                <w:p w14:paraId="60913532" w14:textId="77777777" w:rsidR="009545F6" w:rsidRPr="0036044B" w:rsidRDefault="009545F6" w:rsidP="0036044B">
                  <w:pPr>
                    <w:jc w:val="right"/>
                    <w:rPr>
                      <w:bCs/>
                    </w:rPr>
                  </w:pPr>
                  <w:r w:rsidRPr="0036044B">
                    <w:rPr>
                      <w:bCs/>
                    </w:rPr>
                    <w:t>0.4%</w:t>
                  </w:r>
                </w:p>
              </w:tc>
            </w:tr>
            <w:tr w:rsidR="002B2AD7" w:rsidRPr="0036044B" w14:paraId="5B0DE10C" w14:textId="77777777" w:rsidTr="009545F6">
              <w:trPr>
                <w:gridAfter w:val="2"/>
                <w:wAfter w:w="871" w:type="dxa"/>
                <w:trHeight w:val="315"/>
              </w:trPr>
              <w:tc>
                <w:tcPr>
                  <w:tcW w:w="2246" w:type="dxa"/>
                  <w:tcBorders>
                    <w:left w:val="nil"/>
                    <w:bottom w:val="nil"/>
                    <w:right w:val="nil"/>
                  </w:tcBorders>
                  <w:shd w:val="clear" w:color="auto" w:fill="5B9BD5"/>
                  <w:hideMark/>
                </w:tcPr>
                <w:p w14:paraId="073D11B2" w14:textId="77777777" w:rsidR="009545F6" w:rsidRPr="0036044B" w:rsidRDefault="009545F6" w:rsidP="0036044B">
                  <w:pPr>
                    <w:rPr>
                      <w:b/>
                      <w:bCs/>
                    </w:rPr>
                  </w:pPr>
                </w:p>
              </w:tc>
              <w:tc>
                <w:tcPr>
                  <w:tcW w:w="1842" w:type="dxa"/>
                  <w:shd w:val="clear" w:color="auto" w:fill="D8D8D8"/>
                  <w:noWrap/>
                  <w:hideMark/>
                </w:tcPr>
                <w:p w14:paraId="4CDC8798" w14:textId="77777777" w:rsidR="009545F6" w:rsidRPr="0036044B" w:rsidRDefault="009545F6" w:rsidP="0036044B">
                  <w:pPr>
                    <w:rPr>
                      <w:rFonts w:eastAsia="Calibri"/>
                    </w:rPr>
                  </w:pPr>
                </w:p>
              </w:tc>
              <w:tc>
                <w:tcPr>
                  <w:tcW w:w="870" w:type="dxa"/>
                  <w:shd w:val="clear" w:color="auto" w:fill="D8D8D8"/>
                  <w:noWrap/>
                  <w:hideMark/>
                </w:tcPr>
                <w:p w14:paraId="434AB952" w14:textId="77777777" w:rsidR="009545F6" w:rsidRPr="0036044B" w:rsidRDefault="009545F6" w:rsidP="0036044B">
                  <w:pPr>
                    <w:rPr>
                      <w:rFonts w:eastAsia="Calibri"/>
                    </w:rPr>
                  </w:pPr>
                </w:p>
              </w:tc>
              <w:tc>
                <w:tcPr>
                  <w:tcW w:w="871" w:type="dxa"/>
                  <w:shd w:val="clear" w:color="auto" w:fill="D8D8D8"/>
                  <w:noWrap/>
                  <w:hideMark/>
                </w:tcPr>
                <w:p w14:paraId="24B4563B" w14:textId="77777777" w:rsidR="009545F6" w:rsidRPr="0036044B" w:rsidRDefault="009545F6" w:rsidP="0036044B">
                  <w:pPr>
                    <w:rPr>
                      <w:rFonts w:eastAsia="Calibri"/>
                    </w:rPr>
                  </w:pPr>
                </w:p>
              </w:tc>
              <w:tc>
                <w:tcPr>
                  <w:tcW w:w="871" w:type="dxa"/>
                  <w:shd w:val="clear" w:color="auto" w:fill="D8D8D8"/>
                  <w:noWrap/>
                  <w:hideMark/>
                </w:tcPr>
                <w:p w14:paraId="355CEE4D" w14:textId="77777777" w:rsidR="009545F6" w:rsidRPr="0036044B" w:rsidRDefault="009545F6" w:rsidP="0036044B">
                  <w:pPr>
                    <w:rPr>
                      <w:rFonts w:eastAsia="Calibri"/>
                    </w:rPr>
                  </w:pPr>
                </w:p>
              </w:tc>
              <w:tc>
                <w:tcPr>
                  <w:tcW w:w="871" w:type="dxa"/>
                  <w:shd w:val="clear" w:color="auto" w:fill="D8D8D8"/>
                  <w:noWrap/>
                  <w:hideMark/>
                </w:tcPr>
                <w:p w14:paraId="492EC3C8" w14:textId="77777777" w:rsidR="009545F6" w:rsidRPr="0036044B" w:rsidRDefault="009545F6" w:rsidP="0036044B">
                  <w:pPr>
                    <w:rPr>
                      <w:rFonts w:eastAsia="Calibri"/>
                    </w:rPr>
                  </w:pPr>
                </w:p>
              </w:tc>
              <w:tc>
                <w:tcPr>
                  <w:tcW w:w="871" w:type="dxa"/>
                  <w:shd w:val="clear" w:color="auto" w:fill="D8D8D8"/>
                  <w:noWrap/>
                  <w:hideMark/>
                </w:tcPr>
                <w:p w14:paraId="2219B842" w14:textId="77777777" w:rsidR="009545F6" w:rsidRPr="0036044B" w:rsidRDefault="009545F6" w:rsidP="0036044B">
                  <w:pPr>
                    <w:rPr>
                      <w:rFonts w:eastAsia="Calibri"/>
                    </w:rPr>
                  </w:pPr>
                </w:p>
              </w:tc>
              <w:tc>
                <w:tcPr>
                  <w:tcW w:w="1657" w:type="dxa"/>
                  <w:gridSpan w:val="2"/>
                  <w:shd w:val="clear" w:color="auto" w:fill="D8D8D8"/>
                  <w:noWrap/>
                  <w:hideMark/>
                </w:tcPr>
                <w:p w14:paraId="4FBE8555" w14:textId="77777777" w:rsidR="009545F6" w:rsidRPr="0036044B" w:rsidRDefault="009545F6" w:rsidP="0036044B">
                  <w:pPr>
                    <w:rPr>
                      <w:rFonts w:eastAsia="Calibri"/>
                    </w:rPr>
                  </w:pPr>
                </w:p>
              </w:tc>
            </w:tr>
            <w:tr w:rsidR="002B2AD7" w:rsidRPr="0036044B" w14:paraId="0ECA25BB" w14:textId="77777777" w:rsidTr="009545F6">
              <w:trPr>
                <w:gridAfter w:val="2"/>
                <w:wAfter w:w="871" w:type="dxa"/>
                <w:trHeight w:val="330"/>
              </w:trPr>
              <w:tc>
                <w:tcPr>
                  <w:tcW w:w="2246" w:type="dxa"/>
                  <w:vMerge w:val="restart"/>
                  <w:tcBorders>
                    <w:left w:val="nil"/>
                    <w:bottom w:val="nil"/>
                    <w:right w:val="nil"/>
                  </w:tcBorders>
                  <w:shd w:val="clear" w:color="auto" w:fill="5B9BD5"/>
                  <w:hideMark/>
                </w:tcPr>
                <w:p w14:paraId="3E7F7B07" w14:textId="77777777" w:rsidR="009545F6" w:rsidRPr="0036044B" w:rsidRDefault="009545F6" w:rsidP="0036044B">
                  <w:pPr>
                    <w:rPr>
                      <w:b/>
                      <w:bCs/>
                    </w:rPr>
                  </w:pPr>
                  <w:r w:rsidRPr="0036044B">
                    <w:rPr>
                      <w:b/>
                      <w:bCs/>
                    </w:rPr>
                    <w:t>C8 - Reforma fiscală și reforma sistemului de pensii</w:t>
                  </w:r>
                </w:p>
              </w:tc>
              <w:tc>
                <w:tcPr>
                  <w:tcW w:w="1842" w:type="dxa"/>
                  <w:shd w:val="clear" w:color="auto" w:fill="auto"/>
                  <w:noWrap/>
                  <w:hideMark/>
                </w:tcPr>
                <w:p w14:paraId="3B9F8413" w14:textId="77777777" w:rsidR="009545F6" w:rsidRPr="0036044B" w:rsidRDefault="009545F6" w:rsidP="0036044B">
                  <w:pPr>
                    <w:rPr>
                      <w:bCs/>
                    </w:rPr>
                  </w:pPr>
                  <w:r w:rsidRPr="0036044B">
                    <w:rPr>
                      <w:bCs/>
                    </w:rPr>
                    <w:t>Finanțare mld euro</w:t>
                  </w:r>
                </w:p>
              </w:tc>
              <w:tc>
                <w:tcPr>
                  <w:tcW w:w="870" w:type="dxa"/>
                  <w:shd w:val="clear" w:color="auto" w:fill="auto"/>
                  <w:noWrap/>
                  <w:hideMark/>
                </w:tcPr>
                <w:p w14:paraId="719AA025" w14:textId="77777777" w:rsidR="009545F6" w:rsidRPr="0036044B" w:rsidRDefault="009545F6" w:rsidP="0036044B">
                  <w:pPr>
                    <w:jc w:val="right"/>
                    <w:rPr>
                      <w:bCs/>
                    </w:rPr>
                  </w:pPr>
                  <w:r w:rsidRPr="0036044B">
                    <w:rPr>
                      <w:bCs/>
                    </w:rPr>
                    <w:t>0.08</w:t>
                  </w:r>
                </w:p>
              </w:tc>
              <w:tc>
                <w:tcPr>
                  <w:tcW w:w="871" w:type="dxa"/>
                  <w:shd w:val="clear" w:color="auto" w:fill="auto"/>
                  <w:noWrap/>
                  <w:hideMark/>
                </w:tcPr>
                <w:p w14:paraId="53FEA413" w14:textId="77777777" w:rsidR="009545F6" w:rsidRPr="0036044B" w:rsidRDefault="009545F6" w:rsidP="0036044B">
                  <w:pPr>
                    <w:jc w:val="right"/>
                    <w:rPr>
                      <w:bCs/>
                    </w:rPr>
                  </w:pPr>
                  <w:r w:rsidRPr="0036044B">
                    <w:rPr>
                      <w:bCs/>
                    </w:rPr>
                    <w:t>0.19</w:t>
                  </w:r>
                </w:p>
              </w:tc>
              <w:tc>
                <w:tcPr>
                  <w:tcW w:w="871" w:type="dxa"/>
                  <w:shd w:val="clear" w:color="auto" w:fill="auto"/>
                  <w:noWrap/>
                  <w:hideMark/>
                </w:tcPr>
                <w:p w14:paraId="6AE957D3" w14:textId="77777777" w:rsidR="009545F6" w:rsidRPr="0036044B" w:rsidRDefault="009545F6" w:rsidP="0036044B">
                  <w:pPr>
                    <w:jc w:val="right"/>
                    <w:rPr>
                      <w:bCs/>
                    </w:rPr>
                  </w:pPr>
                  <w:r w:rsidRPr="0036044B">
                    <w:rPr>
                      <w:bCs/>
                    </w:rPr>
                    <w:t>0.09</w:t>
                  </w:r>
                </w:p>
              </w:tc>
              <w:tc>
                <w:tcPr>
                  <w:tcW w:w="871" w:type="dxa"/>
                  <w:shd w:val="clear" w:color="auto" w:fill="auto"/>
                  <w:noWrap/>
                  <w:hideMark/>
                </w:tcPr>
                <w:p w14:paraId="14DB1B36" w14:textId="77777777" w:rsidR="009545F6" w:rsidRPr="0036044B" w:rsidRDefault="009545F6" w:rsidP="0036044B">
                  <w:pPr>
                    <w:jc w:val="right"/>
                    <w:rPr>
                      <w:bCs/>
                    </w:rPr>
                  </w:pPr>
                  <w:r w:rsidRPr="0036044B">
                    <w:rPr>
                      <w:bCs/>
                    </w:rPr>
                    <w:t>0.09</w:t>
                  </w:r>
                </w:p>
              </w:tc>
              <w:tc>
                <w:tcPr>
                  <w:tcW w:w="871" w:type="dxa"/>
                  <w:shd w:val="clear" w:color="auto" w:fill="auto"/>
                  <w:noWrap/>
                  <w:hideMark/>
                </w:tcPr>
                <w:p w14:paraId="34AFAD47" w14:textId="77777777" w:rsidR="009545F6" w:rsidRPr="0036044B" w:rsidRDefault="009545F6" w:rsidP="0036044B">
                  <w:pPr>
                    <w:jc w:val="right"/>
                    <w:rPr>
                      <w:bCs/>
                    </w:rPr>
                  </w:pPr>
                  <w:r w:rsidRPr="0036044B">
                    <w:rPr>
                      <w:bCs/>
                    </w:rPr>
                    <w:t>0.03</w:t>
                  </w:r>
                </w:p>
              </w:tc>
              <w:tc>
                <w:tcPr>
                  <w:tcW w:w="1657" w:type="dxa"/>
                  <w:gridSpan w:val="2"/>
                  <w:shd w:val="clear" w:color="auto" w:fill="auto"/>
                  <w:noWrap/>
                  <w:hideMark/>
                </w:tcPr>
                <w:p w14:paraId="52973B48" w14:textId="77777777" w:rsidR="009545F6" w:rsidRPr="0036044B" w:rsidRDefault="009545F6" w:rsidP="0036044B">
                  <w:pPr>
                    <w:jc w:val="right"/>
                    <w:rPr>
                      <w:bCs/>
                    </w:rPr>
                  </w:pPr>
                  <w:r w:rsidRPr="0036044B">
                    <w:rPr>
                      <w:bCs/>
                    </w:rPr>
                    <w:t>0.00</w:t>
                  </w:r>
                </w:p>
              </w:tc>
            </w:tr>
            <w:tr w:rsidR="002B2AD7" w:rsidRPr="0036044B" w14:paraId="0166CC1C" w14:textId="77777777" w:rsidTr="009545F6">
              <w:trPr>
                <w:gridAfter w:val="2"/>
                <w:wAfter w:w="871" w:type="dxa"/>
                <w:trHeight w:val="330"/>
              </w:trPr>
              <w:tc>
                <w:tcPr>
                  <w:tcW w:w="2246" w:type="dxa"/>
                  <w:vMerge/>
                  <w:tcBorders>
                    <w:left w:val="nil"/>
                    <w:bottom w:val="nil"/>
                    <w:right w:val="nil"/>
                  </w:tcBorders>
                  <w:shd w:val="clear" w:color="auto" w:fill="5B9BD5"/>
                  <w:hideMark/>
                </w:tcPr>
                <w:p w14:paraId="7C1631F9" w14:textId="77777777" w:rsidR="009545F6" w:rsidRPr="0036044B" w:rsidRDefault="009545F6" w:rsidP="0036044B">
                  <w:pPr>
                    <w:rPr>
                      <w:b/>
                      <w:bCs/>
                    </w:rPr>
                  </w:pPr>
                </w:p>
              </w:tc>
              <w:tc>
                <w:tcPr>
                  <w:tcW w:w="1842" w:type="dxa"/>
                  <w:shd w:val="clear" w:color="auto" w:fill="D8D8D8"/>
                  <w:noWrap/>
                  <w:hideMark/>
                </w:tcPr>
                <w:p w14:paraId="7A8822C0" w14:textId="77777777" w:rsidR="009545F6" w:rsidRPr="0036044B" w:rsidRDefault="009545F6" w:rsidP="0036044B">
                  <w:pPr>
                    <w:rPr>
                      <w:bCs/>
                    </w:rPr>
                  </w:pPr>
                  <w:r w:rsidRPr="0036044B">
                    <w:rPr>
                      <w:bCs/>
                    </w:rPr>
                    <w:t>Impact cumulat %</w:t>
                  </w:r>
                </w:p>
              </w:tc>
              <w:tc>
                <w:tcPr>
                  <w:tcW w:w="870" w:type="dxa"/>
                  <w:shd w:val="clear" w:color="auto" w:fill="D8D8D8"/>
                  <w:noWrap/>
                  <w:hideMark/>
                </w:tcPr>
                <w:p w14:paraId="53AA2559" w14:textId="77777777" w:rsidR="009545F6" w:rsidRPr="0036044B" w:rsidRDefault="009545F6" w:rsidP="0036044B">
                  <w:pPr>
                    <w:jc w:val="right"/>
                    <w:rPr>
                      <w:bCs/>
                    </w:rPr>
                  </w:pPr>
                  <w:r w:rsidRPr="0036044B">
                    <w:rPr>
                      <w:bCs/>
                    </w:rPr>
                    <w:t>0.0%</w:t>
                  </w:r>
                </w:p>
              </w:tc>
              <w:tc>
                <w:tcPr>
                  <w:tcW w:w="871" w:type="dxa"/>
                  <w:shd w:val="clear" w:color="auto" w:fill="D8D8D8"/>
                  <w:noWrap/>
                  <w:hideMark/>
                </w:tcPr>
                <w:p w14:paraId="41679C13" w14:textId="77777777" w:rsidR="009545F6" w:rsidRPr="0036044B" w:rsidRDefault="009545F6" w:rsidP="0036044B">
                  <w:pPr>
                    <w:jc w:val="right"/>
                    <w:rPr>
                      <w:bCs/>
                    </w:rPr>
                  </w:pPr>
                  <w:r w:rsidRPr="0036044B">
                    <w:rPr>
                      <w:bCs/>
                    </w:rPr>
                    <w:t>0.1%</w:t>
                  </w:r>
                </w:p>
              </w:tc>
              <w:tc>
                <w:tcPr>
                  <w:tcW w:w="871" w:type="dxa"/>
                  <w:shd w:val="clear" w:color="auto" w:fill="D8D8D8"/>
                  <w:noWrap/>
                  <w:hideMark/>
                </w:tcPr>
                <w:p w14:paraId="3EDB6F73" w14:textId="77777777" w:rsidR="009545F6" w:rsidRPr="0036044B" w:rsidRDefault="009545F6" w:rsidP="0036044B">
                  <w:pPr>
                    <w:jc w:val="right"/>
                    <w:rPr>
                      <w:bCs/>
                    </w:rPr>
                  </w:pPr>
                  <w:r w:rsidRPr="0036044B">
                    <w:rPr>
                      <w:bCs/>
                    </w:rPr>
                    <w:t>0.1%</w:t>
                  </w:r>
                </w:p>
              </w:tc>
              <w:tc>
                <w:tcPr>
                  <w:tcW w:w="871" w:type="dxa"/>
                  <w:shd w:val="clear" w:color="auto" w:fill="D8D8D8"/>
                  <w:noWrap/>
                  <w:hideMark/>
                </w:tcPr>
                <w:p w14:paraId="034F73DC" w14:textId="77777777" w:rsidR="009545F6" w:rsidRPr="0036044B" w:rsidRDefault="009545F6" w:rsidP="0036044B">
                  <w:pPr>
                    <w:jc w:val="right"/>
                    <w:rPr>
                      <w:bCs/>
                    </w:rPr>
                  </w:pPr>
                  <w:r w:rsidRPr="0036044B">
                    <w:rPr>
                      <w:bCs/>
                    </w:rPr>
                    <w:t>0.1%</w:t>
                  </w:r>
                </w:p>
              </w:tc>
              <w:tc>
                <w:tcPr>
                  <w:tcW w:w="871" w:type="dxa"/>
                  <w:shd w:val="clear" w:color="auto" w:fill="D8D8D8"/>
                  <w:noWrap/>
                  <w:hideMark/>
                </w:tcPr>
                <w:p w14:paraId="1A1C73AD" w14:textId="77777777" w:rsidR="009545F6" w:rsidRPr="0036044B" w:rsidRDefault="009545F6" w:rsidP="0036044B">
                  <w:pPr>
                    <w:jc w:val="right"/>
                    <w:rPr>
                      <w:bCs/>
                    </w:rPr>
                  </w:pPr>
                  <w:r w:rsidRPr="0036044B">
                    <w:rPr>
                      <w:bCs/>
                    </w:rPr>
                    <w:t>0.1%</w:t>
                  </w:r>
                </w:p>
              </w:tc>
              <w:tc>
                <w:tcPr>
                  <w:tcW w:w="1657" w:type="dxa"/>
                  <w:gridSpan w:val="2"/>
                  <w:shd w:val="clear" w:color="auto" w:fill="D8D8D8"/>
                  <w:noWrap/>
                  <w:hideMark/>
                </w:tcPr>
                <w:p w14:paraId="508E6288" w14:textId="77777777" w:rsidR="009545F6" w:rsidRPr="0036044B" w:rsidRDefault="009545F6" w:rsidP="0036044B">
                  <w:pPr>
                    <w:jc w:val="right"/>
                    <w:rPr>
                      <w:bCs/>
                    </w:rPr>
                  </w:pPr>
                  <w:r w:rsidRPr="0036044B">
                    <w:rPr>
                      <w:bCs/>
                    </w:rPr>
                    <w:t>0.1%</w:t>
                  </w:r>
                </w:p>
              </w:tc>
            </w:tr>
            <w:tr w:rsidR="002B2AD7" w:rsidRPr="0036044B" w14:paraId="048E4213" w14:textId="77777777" w:rsidTr="009545F6">
              <w:trPr>
                <w:gridAfter w:val="2"/>
                <w:wAfter w:w="871" w:type="dxa"/>
                <w:trHeight w:val="315"/>
              </w:trPr>
              <w:tc>
                <w:tcPr>
                  <w:tcW w:w="2246" w:type="dxa"/>
                  <w:tcBorders>
                    <w:left w:val="nil"/>
                    <w:bottom w:val="nil"/>
                    <w:right w:val="nil"/>
                  </w:tcBorders>
                  <w:shd w:val="clear" w:color="auto" w:fill="5B9BD5"/>
                  <w:hideMark/>
                </w:tcPr>
                <w:p w14:paraId="5FB0F356" w14:textId="77777777" w:rsidR="009545F6" w:rsidRPr="0036044B" w:rsidRDefault="009545F6" w:rsidP="0036044B">
                  <w:pPr>
                    <w:rPr>
                      <w:b/>
                      <w:bCs/>
                    </w:rPr>
                  </w:pPr>
                </w:p>
              </w:tc>
              <w:tc>
                <w:tcPr>
                  <w:tcW w:w="1842" w:type="dxa"/>
                  <w:shd w:val="clear" w:color="auto" w:fill="auto"/>
                  <w:noWrap/>
                  <w:hideMark/>
                </w:tcPr>
                <w:p w14:paraId="227407AE" w14:textId="77777777" w:rsidR="009545F6" w:rsidRPr="0036044B" w:rsidRDefault="009545F6" w:rsidP="0036044B">
                  <w:pPr>
                    <w:rPr>
                      <w:rFonts w:eastAsia="Calibri"/>
                    </w:rPr>
                  </w:pPr>
                </w:p>
              </w:tc>
              <w:tc>
                <w:tcPr>
                  <w:tcW w:w="870" w:type="dxa"/>
                  <w:shd w:val="clear" w:color="auto" w:fill="auto"/>
                  <w:noWrap/>
                  <w:hideMark/>
                </w:tcPr>
                <w:p w14:paraId="5857708E" w14:textId="77777777" w:rsidR="009545F6" w:rsidRPr="0036044B" w:rsidRDefault="009545F6" w:rsidP="0036044B">
                  <w:pPr>
                    <w:rPr>
                      <w:rFonts w:eastAsia="Calibri"/>
                    </w:rPr>
                  </w:pPr>
                </w:p>
              </w:tc>
              <w:tc>
                <w:tcPr>
                  <w:tcW w:w="871" w:type="dxa"/>
                  <w:shd w:val="clear" w:color="auto" w:fill="auto"/>
                  <w:noWrap/>
                  <w:hideMark/>
                </w:tcPr>
                <w:p w14:paraId="2D85E954" w14:textId="77777777" w:rsidR="009545F6" w:rsidRPr="0036044B" w:rsidRDefault="009545F6" w:rsidP="0036044B">
                  <w:pPr>
                    <w:rPr>
                      <w:rFonts w:eastAsia="Calibri"/>
                    </w:rPr>
                  </w:pPr>
                </w:p>
              </w:tc>
              <w:tc>
                <w:tcPr>
                  <w:tcW w:w="871" w:type="dxa"/>
                  <w:shd w:val="clear" w:color="auto" w:fill="auto"/>
                  <w:noWrap/>
                  <w:hideMark/>
                </w:tcPr>
                <w:p w14:paraId="05550B05" w14:textId="77777777" w:rsidR="009545F6" w:rsidRPr="0036044B" w:rsidRDefault="009545F6" w:rsidP="0036044B">
                  <w:pPr>
                    <w:rPr>
                      <w:rFonts w:eastAsia="Calibri"/>
                    </w:rPr>
                  </w:pPr>
                </w:p>
              </w:tc>
              <w:tc>
                <w:tcPr>
                  <w:tcW w:w="871" w:type="dxa"/>
                  <w:shd w:val="clear" w:color="auto" w:fill="auto"/>
                  <w:noWrap/>
                  <w:hideMark/>
                </w:tcPr>
                <w:p w14:paraId="2A946794" w14:textId="77777777" w:rsidR="009545F6" w:rsidRPr="0036044B" w:rsidRDefault="009545F6" w:rsidP="0036044B">
                  <w:pPr>
                    <w:rPr>
                      <w:rFonts w:eastAsia="Calibri"/>
                    </w:rPr>
                  </w:pPr>
                </w:p>
              </w:tc>
              <w:tc>
                <w:tcPr>
                  <w:tcW w:w="871" w:type="dxa"/>
                  <w:shd w:val="clear" w:color="auto" w:fill="auto"/>
                  <w:noWrap/>
                  <w:hideMark/>
                </w:tcPr>
                <w:p w14:paraId="1A566B6A" w14:textId="77777777" w:rsidR="009545F6" w:rsidRPr="0036044B" w:rsidRDefault="009545F6" w:rsidP="0036044B">
                  <w:pPr>
                    <w:rPr>
                      <w:rFonts w:eastAsia="Calibri"/>
                    </w:rPr>
                  </w:pPr>
                </w:p>
              </w:tc>
              <w:tc>
                <w:tcPr>
                  <w:tcW w:w="1657" w:type="dxa"/>
                  <w:gridSpan w:val="2"/>
                  <w:shd w:val="clear" w:color="auto" w:fill="auto"/>
                  <w:noWrap/>
                  <w:hideMark/>
                </w:tcPr>
                <w:p w14:paraId="00638266" w14:textId="77777777" w:rsidR="009545F6" w:rsidRPr="0036044B" w:rsidRDefault="009545F6" w:rsidP="0036044B">
                  <w:pPr>
                    <w:rPr>
                      <w:rFonts w:eastAsia="Calibri"/>
                    </w:rPr>
                  </w:pPr>
                </w:p>
              </w:tc>
            </w:tr>
            <w:tr w:rsidR="002B2AD7" w:rsidRPr="0036044B" w14:paraId="59F987AF" w14:textId="77777777" w:rsidTr="009545F6">
              <w:trPr>
                <w:gridAfter w:val="2"/>
                <w:wAfter w:w="871" w:type="dxa"/>
                <w:trHeight w:val="330"/>
              </w:trPr>
              <w:tc>
                <w:tcPr>
                  <w:tcW w:w="2246" w:type="dxa"/>
                  <w:vMerge w:val="restart"/>
                  <w:tcBorders>
                    <w:left w:val="nil"/>
                    <w:bottom w:val="nil"/>
                    <w:right w:val="nil"/>
                  </w:tcBorders>
                  <w:shd w:val="clear" w:color="auto" w:fill="5B9BD5"/>
                  <w:hideMark/>
                </w:tcPr>
                <w:p w14:paraId="60897D29" w14:textId="77777777" w:rsidR="009545F6" w:rsidRPr="0036044B" w:rsidRDefault="009545F6" w:rsidP="0036044B">
                  <w:pPr>
                    <w:rPr>
                      <w:b/>
                      <w:bCs/>
                    </w:rPr>
                  </w:pPr>
                  <w:r w:rsidRPr="0036044B">
                    <w:rPr>
                      <w:b/>
                      <w:bCs/>
                      <w:i/>
                      <w:iCs/>
                    </w:rPr>
                    <w:t>C9- Suport pentru sectorul privat, cercetare, dezvoltare și inovare.</w:t>
                  </w:r>
                </w:p>
              </w:tc>
              <w:tc>
                <w:tcPr>
                  <w:tcW w:w="1842" w:type="dxa"/>
                  <w:shd w:val="clear" w:color="auto" w:fill="D8D8D8"/>
                  <w:noWrap/>
                  <w:hideMark/>
                </w:tcPr>
                <w:p w14:paraId="15938731" w14:textId="77777777" w:rsidR="009545F6" w:rsidRPr="0036044B" w:rsidRDefault="009545F6" w:rsidP="0036044B">
                  <w:pPr>
                    <w:rPr>
                      <w:bCs/>
                    </w:rPr>
                  </w:pPr>
                  <w:r w:rsidRPr="0036044B">
                    <w:rPr>
                      <w:bCs/>
                    </w:rPr>
                    <w:t>Finanțare mld euro</w:t>
                  </w:r>
                </w:p>
              </w:tc>
              <w:tc>
                <w:tcPr>
                  <w:tcW w:w="870" w:type="dxa"/>
                  <w:shd w:val="clear" w:color="auto" w:fill="D8D8D8"/>
                  <w:noWrap/>
                  <w:hideMark/>
                </w:tcPr>
                <w:p w14:paraId="57B628B5" w14:textId="77777777" w:rsidR="009545F6" w:rsidRPr="0036044B" w:rsidRDefault="009545F6" w:rsidP="0036044B">
                  <w:pPr>
                    <w:jc w:val="right"/>
                    <w:rPr>
                      <w:bCs/>
                    </w:rPr>
                  </w:pPr>
                  <w:r w:rsidRPr="0036044B">
                    <w:rPr>
                      <w:bCs/>
                    </w:rPr>
                    <w:t>0.00</w:t>
                  </w:r>
                </w:p>
              </w:tc>
              <w:tc>
                <w:tcPr>
                  <w:tcW w:w="871" w:type="dxa"/>
                  <w:shd w:val="clear" w:color="auto" w:fill="D8D8D8"/>
                  <w:noWrap/>
                  <w:hideMark/>
                </w:tcPr>
                <w:p w14:paraId="024493A8" w14:textId="77777777" w:rsidR="009545F6" w:rsidRPr="0036044B" w:rsidRDefault="009545F6" w:rsidP="0036044B">
                  <w:pPr>
                    <w:jc w:val="right"/>
                    <w:rPr>
                      <w:bCs/>
                    </w:rPr>
                  </w:pPr>
                  <w:r w:rsidRPr="0036044B">
                    <w:rPr>
                      <w:bCs/>
                    </w:rPr>
                    <w:t>0.20</w:t>
                  </w:r>
                </w:p>
              </w:tc>
              <w:tc>
                <w:tcPr>
                  <w:tcW w:w="871" w:type="dxa"/>
                  <w:shd w:val="clear" w:color="auto" w:fill="D8D8D8"/>
                  <w:noWrap/>
                  <w:hideMark/>
                </w:tcPr>
                <w:p w14:paraId="1BE136BA" w14:textId="77777777" w:rsidR="009545F6" w:rsidRPr="0036044B" w:rsidRDefault="009545F6" w:rsidP="0036044B">
                  <w:pPr>
                    <w:jc w:val="right"/>
                    <w:rPr>
                      <w:bCs/>
                    </w:rPr>
                  </w:pPr>
                  <w:r w:rsidRPr="0036044B">
                    <w:rPr>
                      <w:bCs/>
                    </w:rPr>
                    <w:t>0.41</w:t>
                  </w:r>
                </w:p>
              </w:tc>
              <w:tc>
                <w:tcPr>
                  <w:tcW w:w="871" w:type="dxa"/>
                  <w:shd w:val="clear" w:color="auto" w:fill="D8D8D8"/>
                  <w:noWrap/>
                  <w:hideMark/>
                </w:tcPr>
                <w:p w14:paraId="29FD34DF" w14:textId="77777777" w:rsidR="009545F6" w:rsidRPr="0036044B" w:rsidRDefault="009545F6" w:rsidP="0036044B">
                  <w:pPr>
                    <w:jc w:val="right"/>
                    <w:rPr>
                      <w:bCs/>
                    </w:rPr>
                  </w:pPr>
                  <w:r w:rsidRPr="0036044B">
                    <w:rPr>
                      <w:bCs/>
                    </w:rPr>
                    <w:t>0.58</w:t>
                  </w:r>
                </w:p>
              </w:tc>
              <w:tc>
                <w:tcPr>
                  <w:tcW w:w="871" w:type="dxa"/>
                  <w:shd w:val="clear" w:color="auto" w:fill="D8D8D8"/>
                  <w:noWrap/>
                  <w:hideMark/>
                </w:tcPr>
                <w:p w14:paraId="71E21B70" w14:textId="77777777" w:rsidR="009545F6" w:rsidRPr="0036044B" w:rsidRDefault="009545F6" w:rsidP="0036044B">
                  <w:pPr>
                    <w:jc w:val="right"/>
                    <w:rPr>
                      <w:bCs/>
                    </w:rPr>
                  </w:pPr>
                  <w:r w:rsidRPr="0036044B">
                    <w:rPr>
                      <w:bCs/>
                    </w:rPr>
                    <w:t>0.66</w:t>
                  </w:r>
                </w:p>
              </w:tc>
              <w:tc>
                <w:tcPr>
                  <w:tcW w:w="1657" w:type="dxa"/>
                  <w:gridSpan w:val="2"/>
                  <w:shd w:val="clear" w:color="auto" w:fill="D8D8D8"/>
                  <w:noWrap/>
                  <w:hideMark/>
                </w:tcPr>
                <w:p w14:paraId="0A437C05" w14:textId="77777777" w:rsidR="009545F6" w:rsidRPr="0036044B" w:rsidRDefault="009545F6" w:rsidP="0036044B">
                  <w:pPr>
                    <w:jc w:val="right"/>
                    <w:rPr>
                      <w:bCs/>
                    </w:rPr>
                  </w:pPr>
                  <w:r w:rsidRPr="0036044B">
                    <w:rPr>
                      <w:bCs/>
                    </w:rPr>
                    <w:t>0.51</w:t>
                  </w:r>
                </w:p>
              </w:tc>
            </w:tr>
            <w:tr w:rsidR="002B2AD7" w:rsidRPr="0036044B" w14:paraId="1AC6D9B1" w14:textId="77777777" w:rsidTr="009545F6">
              <w:trPr>
                <w:gridAfter w:val="2"/>
                <w:wAfter w:w="871" w:type="dxa"/>
                <w:trHeight w:val="330"/>
              </w:trPr>
              <w:tc>
                <w:tcPr>
                  <w:tcW w:w="2246" w:type="dxa"/>
                  <w:vMerge/>
                  <w:tcBorders>
                    <w:left w:val="nil"/>
                    <w:bottom w:val="nil"/>
                    <w:right w:val="nil"/>
                  </w:tcBorders>
                  <w:shd w:val="clear" w:color="auto" w:fill="5B9BD5"/>
                  <w:hideMark/>
                </w:tcPr>
                <w:p w14:paraId="54D7236F" w14:textId="77777777" w:rsidR="009545F6" w:rsidRPr="0036044B" w:rsidRDefault="009545F6" w:rsidP="0036044B">
                  <w:pPr>
                    <w:rPr>
                      <w:b/>
                      <w:bCs/>
                    </w:rPr>
                  </w:pPr>
                </w:p>
              </w:tc>
              <w:tc>
                <w:tcPr>
                  <w:tcW w:w="1842" w:type="dxa"/>
                  <w:shd w:val="clear" w:color="auto" w:fill="auto"/>
                  <w:noWrap/>
                  <w:hideMark/>
                </w:tcPr>
                <w:p w14:paraId="5C773183" w14:textId="77777777" w:rsidR="009545F6" w:rsidRPr="0036044B" w:rsidRDefault="009545F6" w:rsidP="0036044B">
                  <w:pPr>
                    <w:rPr>
                      <w:bCs/>
                    </w:rPr>
                  </w:pPr>
                  <w:r w:rsidRPr="0036044B">
                    <w:rPr>
                      <w:bCs/>
                    </w:rPr>
                    <w:t>Impact cumulat %</w:t>
                  </w:r>
                </w:p>
              </w:tc>
              <w:tc>
                <w:tcPr>
                  <w:tcW w:w="870" w:type="dxa"/>
                  <w:shd w:val="clear" w:color="auto" w:fill="auto"/>
                  <w:noWrap/>
                  <w:hideMark/>
                </w:tcPr>
                <w:p w14:paraId="63B366C6" w14:textId="77777777" w:rsidR="009545F6" w:rsidRPr="0036044B" w:rsidRDefault="009545F6" w:rsidP="0036044B">
                  <w:pPr>
                    <w:jc w:val="right"/>
                    <w:rPr>
                      <w:bCs/>
                    </w:rPr>
                  </w:pPr>
                  <w:r w:rsidRPr="0036044B">
                    <w:rPr>
                      <w:bCs/>
                    </w:rPr>
                    <w:t>0.0%</w:t>
                  </w:r>
                </w:p>
              </w:tc>
              <w:tc>
                <w:tcPr>
                  <w:tcW w:w="871" w:type="dxa"/>
                  <w:shd w:val="clear" w:color="auto" w:fill="auto"/>
                  <w:noWrap/>
                  <w:hideMark/>
                </w:tcPr>
                <w:p w14:paraId="747AA141" w14:textId="77777777" w:rsidR="009545F6" w:rsidRPr="0036044B" w:rsidRDefault="009545F6" w:rsidP="0036044B">
                  <w:pPr>
                    <w:jc w:val="right"/>
                    <w:rPr>
                      <w:bCs/>
                    </w:rPr>
                  </w:pPr>
                  <w:r w:rsidRPr="0036044B">
                    <w:rPr>
                      <w:bCs/>
                    </w:rPr>
                    <w:t>0.0%</w:t>
                  </w:r>
                </w:p>
              </w:tc>
              <w:tc>
                <w:tcPr>
                  <w:tcW w:w="871" w:type="dxa"/>
                  <w:shd w:val="clear" w:color="auto" w:fill="auto"/>
                  <w:noWrap/>
                  <w:hideMark/>
                </w:tcPr>
                <w:p w14:paraId="1F8926F6" w14:textId="77777777" w:rsidR="009545F6" w:rsidRPr="0036044B" w:rsidRDefault="009545F6" w:rsidP="0036044B">
                  <w:pPr>
                    <w:jc w:val="right"/>
                    <w:rPr>
                      <w:bCs/>
                    </w:rPr>
                  </w:pPr>
                  <w:r w:rsidRPr="0036044B">
                    <w:rPr>
                      <w:bCs/>
                    </w:rPr>
                    <w:t>0.1%</w:t>
                  </w:r>
                </w:p>
              </w:tc>
              <w:tc>
                <w:tcPr>
                  <w:tcW w:w="871" w:type="dxa"/>
                  <w:shd w:val="clear" w:color="auto" w:fill="auto"/>
                  <w:noWrap/>
                  <w:hideMark/>
                </w:tcPr>
                <w:p w14:paraId="6BA87804" w14:textId="77777777" w:rsidR="009545F6" w:rsidRPr="0036044B" w:rsidRDefault="009545F6" w:rsidP="0036044B">
                  <w:pPr>
                    <w:jc w:val="right"/>
                    <w:rPr>
                      <w:bCs/>
                    </w:rPr>
                  </w:pPr>
                  <w:r w:rsidRPr="0036044B">
                    <w:rPr>
                      <w:bCs/>
                    </w:rPr>
                    <w:t>0.3%</w:t>
                  </w:r>
                </w:p>
              </w:tc>
              <w:tc>
                <w:tcPr>
                  <w:tcW w:w="871" w:type="dxa"/>
                  <w:shd w:val="clear" w:color="auto" w:fill="auto"/>
                  <w:noWrap/>
                  <w:hideMark/>
                </w:tcPr>
                <w:p w14:paraId="39112AB0" w14:textId="77777777" w:rsidR="009545F6" w:rsidRPr="0036044B" w:rsidRDefault="009545F6" w:rsidP="0036044B">
                  <w:pPr>
                    <w:jc w:val="right"/>
                    <w:rPr>
                      <w:bCs/>
                    </w:rPr>
                  </w:pPr>
                  <w:r w:rsidRPr="0036044B">
                    <w:rPr>
                      <w:bCs/>
                    </w:rPr>
                    <w:t>0.4%</w:t>
                  </w:r>
                </w:p>
              </w:tc>
              <w:tc>
                <w:tcPr>
                  <w:tcW w:w="1657" w:type="dxa"/>
                  <w:gridSpan w:val="2"/>
                  <w:shd w:val="clear" w:color="auto" w:fill="auto"/>
                  <w:noWrap/>
                  <w:hideMark/>
                </w:tcPr>
                <w:p w14:paraId="629F77E1" w14:textId="77777777" w:rsidR="009545F6" w:rsidRPr="0036044B" w:rsidRDefault="009545F6" w:rsidP="0036044B">
                  <w:pPr>
                    <w:jc w:val="right"/>
                    <w:rPr>
                      <w:bCs/>
                    </w:rPr>
                  </w:pPr>
                  <w:r w:rsidRPr="0036044B">
                    <w:rPr>
                      <w:bCs/>
                    </w:rPr>
                    <w:t>0.4%</w:t>
                  </w:r>
                </w:p>
              </w:tc>
            </w:tr>
            <w:tr w:rsidR="002B2AD7" w:rsidRPr="0036044B" w14:paraId="08868EE1" w14:textId="77777777" w:rsidTr="009545F6">
              <w:trPr>
                <w:gridAfter w:val="2"/>
                <w:wAfter w:w="871" w:type="dxa"/>
                <w:trHeight w:val="315"/>
              </w:trPr>
              <w:tc>
                <w:tcPr>
                  <w:tcW w:w="2246" w:type="dxa"/>
                  <w:tcBorders>
                    <w:left w:val="nil"/>
                    <w:bottom w:val="nil"/>
                    <w:right w:val="nil"/>
                  </w:tcBorders>
                  <w:shd w:val="clear" w:color="auto" w:fill="5B9BD5"/>
                  <w:hideMark/>
                </w:tcPr>
                <w:p w14:paraId="599A24CE" w14:textId="77777777" w:rsidR="009545F6" w:rsidRPr="0036044B" w:rsidRDefault="009545F6" w:rsidP="0036044B">
                  <w:pPr>
                    <w:rPr>
                      <w:b/>
                      <w:bCs/>
                    </w:rPr>
                  </w:pPr>
                </w:p>
              </w:tc>
              <w:tc>
                <w:tcPr>
                  <w:tcW w:w="1842" w:type="dxa"/>
                  <w:shd w:val="clear" w:color="auto" w:fill="D8D8D8"/>
                  <w:noWrap/>
                  <w:hideMark/>
                </w:tcPr>
                <w:p w14:paraId="0982D3F2" w14:textId="77777777" w:rsidR="009545F6" w:rsidRPr="0036044B" w:rsidRDefault="009545F6" w:rsidP="0036044B">
                  <w:pPr>
                    <w:rPr>
                      <w:rFonts w:eastAsia="Calibri"/>
                    </w:rPr>
                  </w:pPr>
                </w:p>
              </w:tc>
              <w:tc>
                <w:tcPr>
                  <w:tcW w:w="870" w:type="dxa"/>
                  <w:shd w:val="clear" w:color="auto" w:fill="D8D8D8"/>
                  <w:noWrap/>
                  <w:hideMark/>
                </w:tcPr>
                <w:p w14:paraId="7B09ADF9" w14:textId="77777777" w:rsidR="009545F6" w:rsidRPr="0036044B" w:rsidRDefault="009545F6" w:rsidP="0036044B">
                  <w:pPr>
                    <w:rPr>
                      <w:rFonts w:eastAsia="Calibri"/>
                    </w:rPr>
                  </w:pPr>
                </w:p>
              </w:tc>
              <w:tc>
                <w:tcPr>
                  <w:tcW w:w="871" w:type="dxa"/>
                  <w:shd w:val="clear" w:color="auto" w:fill="D8D8D8"/>
                  <w:noWrap/>
                  <w:hideMark/>
                </w:tcPr>
                <w:p w14:paraId="3D64191A" w14:textId="77777777" w:rsidR="009545F6" w:rsidRPr="0036044B" w:rsidRDefault="009545F6" w:rsidP="0036044B">
                  <w:pPr>
                    <w:rPr>
                      <w:rFonts w:eastAsia="Calibri"/>
                    </w:rPr>
                  </w:pPr>
                </w:p>
              </w:tc>
              <w:tc>
                <w:tcPr>
                  <w:tcW w:w="871" w:type="dxa"/>
                  <w:shd w:val="clear" w:color="auto" w:fill="D8D8D8"/>
                  <w:noWrap/>
                  <w:hideMark/>
                </w:tcPr>
                <w:p w14:paraId="4423C6CC" w14:textId="77777777" w:rsidR="009545F6" w:rsidRPr="0036044B" w:rsidRDefault="009545F6" w:rsidP="0036044B">
                  <w:pPr>
                    <w:rPr>
                      <w:rFonts w:eastAsia="Calibri"/>
                    </w:rPr>
                  </w:pPr>
                </w:p>
              </w:tc>
              <w:tc>
                <w:tcPr>
                  <w:tcW w:w="871" w:type="dxa"/>
                  <w:shd w:val="clear" w:color="auto" w:fill="D8D8D8"/>
                  <w:noWrap/>
                  <w:hideMark/>
                </w:tcPr>
                <w:p w14:paraId="2B8E5D79" w14:textId="77777777" w:rsidR="009545F6" w:rsidRPr="0036044B" w:rsidRDefault="009545F6" w:rsidP="0036044B">
                  <w:pPr>
                    <w:rPr>
                      <w:rFonts w:eastAsia="Calibri"/>
                    </w:rPr>
                  </w:pPr>
                </w:p>
              </w:tc>
              <w:tc>
                <w:tcPr>
                  <w:tcW w:w="871" w:type="dxa"/>
                  <w:shd w:val="clear" w:color="auto" w:fill="D8D8D8"/>
                  <w:noWrap/>
                  <w:hideMark/>
                </w:tcPr>
                <w:p w14:paraId="0FA4AAE0" w14:textId="77777777" w:rsidR="009545F6" w:rsidRPr="0036044B" w:rsidRDefault="009545F6" w:rsidP="0036044B">
                  <w:pPr>
                    <w:rPr>
                      <w:rFonts w:eastAsia="Calibri"/>
                    </w:rPr>
                  </w:pPr>
                </w:p>
              </w:tc>
              <w:tc>
                <w:tcPr>
                  <w:tcW w:w="1657" w:type="dxa"/>
                  <w:gridSpan w:val="2"/>
                  <w:shd w:val="clear" w:color="auto" w:fill="D8D8D8"/>
                  <w:noWrap/>
                  <w:hideMark/>
                </w:tcPr>
                <w:p w14:paraId="3B3C0487" w14:textId="77777777" w:rsidR="009545F6" w:rsidRPr="0036044B" w:rsidRDefault="009545F6" w:rsidP="0036044B">
                  <w:pPr>
                    <w:rPr>
                      <w:rFonts w:eastAsia="Calibri"/>
                    </w:rPr>
                  </w:pPr>
                </w:p>
              </w:tc>
            </w:tr>
            <w:tr w:rsidR="002B2AD7" w:rsidRPr="0036044B" w14:paraId="4AFB410F" w14:textId="77777777" w:rsidTr="009545F6">
              <w:trPr>
                <w:gridAfter w:val="2"/>
                <w:wAfter w:w="871" w:type="dxa"/>
                <w:trHeight w:val="330"/>
              </w:trPr>
              <w:tc>
                <w:tcPr>
                  <w:tcW w:w="2246" w:type="dxa"/>
                  <w:vMerge w:val="restart"/>
                  <w:tcBorders>
                    <w:left w:val="nil"/>
                    <w:bottom w:val="nil"/>
                    <w:right w:val="nil"/>
                  </w:tcBorders>
                  <w:shd w:val="clear" w:color="auto" w:fill="5B9BD5"/>
                  <w:hideMark/>
                </w:tcPr>
                <w:p w14:paraId="2D240D6E" w14:textId="77777777" w:rsidR="009545F6" w:rsidRPr="0036044B" w:rsidRDefault="009545F6" w:rsidP="0036044B">
                  <w:pPr>
                    <w:rPr>
                      <w:b/>
                      <w:bCs/>
                    </w:rPr>
                  </w:pPr>
                  <w:r w:rsidRPr="0036044B">
                    <w:rPr>
                      <w:b/>
                      <w:bCs/>
                    </w:rPr>
                    <w:t xml:space="preserve">C10 - Fondul local </w:t>
                  </w:r>
                </w:p>
              </w:tc>
              <w:tc>
                <w:tcPr>
                  <w:tcW w:w="1842" w:type="dxa"/>
                  <w:shd w:val="clear" w:color="auto" w:fill="auto"/>
                  <w:noWrap/>
                  <w:hideMark/>
                </w:tcPr>
                <w:p w14:paraId="5B23F792" w14:textId="77777777" w:rsidR="009545F6" w:rsidRPr="0036044B" w:rsidRDefault="009545F6" w:rsidP="0036044B">
                  <w:pPr>
                    <w:rPr>
                      <w:bCs/>
                    </w:rPr>
                  </w:pPr>
                  <w:r w:rsidRPr="0036044B">
                    <w:rPr>
                      <w:bCs/>
                    </w:rPr>
                    <w:t>Finanțare mld euro</w:t>
                  </w:r>
                </w:p>
              </w:tc>
              <w:tc>
                <w:tcPr>
                  <w:tcW w:w="870" w:type="dxa"/>
                  <w:shd w:val="clear" w:color="auto" w:fill="auto"/>
                  <w:noWrap/>
                  <w:hideMark/>
                </w:tcPr>
                <w:p w14:paraId="0DDD883D" w14:textId="77777777" w:rsidR="009545F6" w:rsidRPr="0036044B" w:rsidRDefault="009545F6" w:rsidP="0036044B">
                  <w:pPr>
                    <w:jc w:val="right"/>
                    <w:rPr>
                      <w:bCs/>
                    </w:rPr>
                  </w:pPr>
                  <w:r w:rsidRPr="0036044B">
                    <w:rPr>
                      <w:bCs/>
                    </w:rPr>
                    <w:t>0.17</w:t>
                  </w:r>
                </w:p>
              </w:tc>
              <w:tc>
                <w:tcPr>
                  <w:tcW w:w="871" w:type="dxa"/>
                  <w:shd w:val="clear" w:color="auto" w:fill="auto"/>
                  <w:noWrap/>
                  <w:hideMark/>
                </w:tcPr>
                <w:p w14:paraId="06C04ABB" w14:textId="77777777" w:rsidR="009545F6" w:rsidRPr="0036044B" w:rsidRDefault="009545F6" w:rsidP="0036044B">
                  <w:pPr>
                    <w:jc w:val="right"/>
                    <w:rPr>
                      <w:bCs/>
                    </w:rPr>
                  </w:pPr>
                  <w:r w:rsidRPr="0036044B">
                    <w:rPr>
                      <w:bCs/>
                    </w:rPr>
                    <w:t>0.47</w:t>
                  </w:r>
                </w:p>
              </w:tc>
              <w:tc>
                <w:tcPr>
                  <w:tcW w:w="871" w:type="dxa"/>
                  <w:shd w:val="clear" w:color="auto" w:fill="auto"/>
                  <w:noWrap/>
                  <w:hideMark/>
                </w:tcPr>
                <w:p w14:paraId="19FF8EC0" w14:textId="77777777" w:rsidR="009545F6" w:rsidRPr="0036044B" w:rsidRDefault="009545F6" w:rsidP="0036044B">
                  <w:pPr>
                    <w:jc w:val="right"/>
                    <w:rPr>
                      <w:bCs/>
                    </w:rPr>
                  </w:pPr>
                  <w:r w:rsidRPr="0036044B">
                    <w:rPr>
                      <w:bCs/>
                    </w:rPr>
                    <w:t>0.56</w:t>
                  </w:r>
                </w:p>
              </w:tc>
              <w:tc>
                <w:tcPr>
                  <w:tcW w:w="871" w:type="dxa"/>
                  <w:shd w:val="clear" w:color="auto" w:fill="auto"/>
                  <w:noWrap/>
                  <w:hideMark/>
                </w:tcPr>
                <w:p w14:paraId="7C1412AB" w14:textId="77777777" w:rsidR="009545F6" w:rsidRPr="0036044B" w:rsidRDefault="009545F6" w:rsidP="0036044B">
                  <w:pPr>
                    <w:jc w:val="right"/>
                    <w:rPr>
                      <w:bCs/>
                    </w:rPr>
                  </w:pPr>
                  <w:r w:rsidRPr="0036044B">
                    <w:rPr>
                      <w:bCs/>
                    </w:rPr>
                    <w:t>0.40</w:t>
                  </w:r>
                </w:p>
              </w:tc>
              <w:tc>
                <w:tcPr>
                  <w:tcW w:w="871" w:type="dxa"/>
                  <w:shd w:val="clear" w:color="auto" w:fill="auto"/>
                  <w:noWrap/>
                  <w:hideMark/>
                </w:tcPr>
                <w:p w14:paraId="291D2FCB" w14:textId="77777777" w:rsidR="009545F6" w:rsidRPr="0036044B" w:rsidRDefault="009545F6" w:rsidP="0036044B">
                  <w:pPr>
                    <w:jc w:val="right"/>
                    <w:rPr>
                      <w:bCs/>
                    </w:rPr>
                  </w:pPr>
                  <w:r w:rsidRPr="0036044B">
                    <w:rPr>
                      <w:bCs/>
                    </w:rPr>
                    <w:t>0.36</w:t>
                  </w:r>
                </w:p>
              </w:tc>
              <w:tc>
                <w:tcPr>
                  <w:tcW w:w="1657" w:type="dxa"/>
                  <w:gridSpan w:val="2"/>
                  <w:shd w:val="clear" w:color="auto" w:fill="auto"/>
                  <w:noWrap/>
                  <w:hideMark/>
                </w:tcPr>
                <w:p w14:paraId="5FBF5A62" w14:textId="77777777" w:rsidR="009545F6" w:rsidRPr="0036044B" w:rsidRDefault="009545F6" w:rsidP="0036044B">
                  <w:pPr>
                    <w:jc w:val="right"/>
                    <w:rPr>
                      <w:bCs/>
                    </w:rPr>
                  </w:pPr>
                  <w:r w:rsidRPr="0036044B">
                    <w:rPr>
                      <w:bCs/>
                    </w:rPr>
                    <w:t>0.17</w:t>
                  </w:r>
                </w:p>
              </w:tc>
            </w:tr>
            <w:tr w:rsidR="002B2AD7" w:rsidRPr="0036044B" w14:paraId="43155A82" w14:textId="77777777" w:rsidTr="009545F6">
              <w:trPr>
                <w:gridAfter w:val="2"/>
                <w:wAfter w:w="871" w:type="dxa"/>
                <w:trHeight w:val="330"/>
              </w:trPr>
              <w:tc>
                <w:tcPr>
                  <w:tcW w:w="2246" w:type="dxa"/>
                  <w:vMerge/>
                  <w:tcBorders>
                    <w:left w:val="nil"/>
                    <w:bottom w:val="nil"/>
                    <w:right w:val="nil"/>
                  </w:tcBorders>
                  <w:shd w:val="clear" w:color="auto" w:fill="5B9BD5"/>
                  <w:hideMark/>
                </w:tcPr>
                <w:p w14:paraId="23FBC606" w14:textId="77777777" w:rsidR="009545F6" w:rsidRPr="0036044B" w:rsidRDefault="009545F6" w:rsidP="0036044B">
                  <w:pPr>
                    <w:rPr>
                      <w:b/>
                      <w:bCs/>
                    </w:rPr>
                  </w:pPr>
                </w:p>
              </w:tc>
              <w:tc>
                <w:tcPr>
                  <w:tcW w:w="1842" w:type="dxa"/>
                  <w:shd w:val="clear" w:color="auto" w:fill="D8D8D8"/>
                  <w:noWrap/>
                  <w:hideMark/>
                </w:tcPr>
                <w:p w14:paraId="0CE8AB66" w14:textId="77777777" w:rsidR="009545F6" w:rsidRPr="0036044B" w:rsidRDefault="009545F6" w:rsidP="0036044B">
                  <w:pPr>
                    <w:rPr>
                      <w:bCs/>
                    </w:rPr>
                  </w:pPr>
                  <w:r w:rsidRPr="0036044B">
                    <w:rPr>
                      <w:bCs/>
                    </w:rPr>
                    <w:t>Impact cumulat %</w:t>
                  </w:r>
                </w:p>
              </w:tc>
              <w:tc>
                <w:tcPr>
                  <w:tcW w:w="870" w:type="dxa"/>
                  <w:shd w:val="clear" w:color="auto" w:fill="D8D8D8"/>
                  <w:noWrap/>
                  <w:hideMark/>
                </w:tcPr>
                <w:p w14:paraId="55042C04" w14:textId="77777777" w:rsidR="009545F6" w:rsidRPr="0036044B" w:rsidRDefault="009545F6" w:rsidP="0036044B">
                  <w:pPr>
                    <w:jc w:val="right"/>
                    <w:rPr>
                      <w:bCs/>
                    </w:rPr>
                  </w:pPr>
                  <w:r w:rsidRPr="0036044B">
                    <w:rPr>
                      <w:bCs/>
                    </w:rPr>
                    <w:t>0.0%</w:t>
                  </w:r>
                </w:p>
              </w:tc>
              <w:tc>
                <w:tcPr>
                  <w:tcW w:w="871" w:type="dxa"/>
                  <w:shd w:val="clear" w:color="auto" w:fill="D8D8D8"/>
                  <w:noWrap/>
                  <w:hideMark/>
                </w:tcPr>
                <w:p w14:paraId="1C1965A1" w14:textId="77777777" w:rsidR="009545F6" w:rsidRPr="0036044B" w:rsidRDefault="009545F6" w:rsidP="0036044B">
                  <w:pPr>
                    <w:jc w:val="right"/>
                    <w:rPr>
                      <w:bCs/>
                    </w:rPr>
                  </w:pPr>
                  <w:r w:rsidRPr="0036044B">
                    <w:rPr>
                      <w:bCs/>
                    </w:rPr>
                    <w:t>0.1%</w:t>
                  </w:r>
                </w:p>
              </w:tc>
              <w:tc>
                <w:tcPr>
                  <w:tcW w:w="871" w:type="dxa"/>
                  <w:shd w:val="clear" w:color="auto" w:fill="D8D8D8"/>
                  <w:noWrap/>
                  <w:hideMark/>
                </w:tcPr>
                <w:p w14:paraId="155C929B" w14:textId="77777777" w:rsidR="009545F6" w:rsidRPr="0036044B" w:rsidRDefault="009545F6" w:rsidP="0036044B">
                  <w:pPr>
                    <w:jc w:val="right"/>
                    <w:rPr>
                      <w:bCs/>
                    </w:rPr>
                  </w:pPr>
                  <w:r w:rsidRPr="0036044B">
                    <w:rPr>
                      <w:bCs/>
                    </w:rPr>
                    <w:t>0.3%</w:t>
                  </w:r>
                </w:p>
              </w:tc>
              <w:tc>
                <w:tcPr>
                  <w:tcW w:w="871" w:type="dxa"/>
                  <w:shd w:val="clear" w:color="auto" w:fill="D8D8D8"/>
                  <w:noWrap/>
                  <w:hideMark/>
                </w:tcPr>
                <w:p w14:paraId="1B70F1DE" w14:textId="77777777" w:rsidR="009545F6" w:rsidRPr="0036044B" w:rsidRDefault="009545F6" w:rsidP="0036044B">
                  <w:pPr>
                    <w:jc w:val="right"/>
                    <w:rPr>
                      <w:bCs/>
                    </w:rPr>
                  </w:pPr>
                  <w:r w:rsidRPr="0036044B">
                    <w:rPr>
                      <w:bCs/>
                    </w:rPr>
                    <w:t>0.3%</w:t>
                  </w:r>
                </w:p>
              </w:tc>
              <w:tc>
                <w:tcPr>
                  <w:tcW w:w="871" w:type="dxa"/>
                  <w:shd w:val="clear" w:color="auto" w:fill="D8D8D8"/>
                  <w:noWrap/>
                  <w:hideMark/>
                </w:tcPr>
                <w:p w14:paraId="56FB95E8" w14:textId="77777777" w:rsidR="009545F6" w:rsidRPr="0036044B" w:rsidRDefault="009545F6" w:rsidP="0036044B">
                  <w:pPr>
                    <w:jc w:val="right"/>
                    <w:rPr>
                      <w:bCs/>
                    </w:rPr>
                  </w:pPr>
                  <w:r w:rsidRPr="0036044B">
                    <w:rPr>
                      <w:bCs/>
                    </w:rPr>
                    <w:t>0.4%</w:t>
                  </w:r>
                </w:p>
              </w:tc>
              <w:tc>
                <w:tcPr>
                  <w:tcW w:w="1657" w:type="dxa"/>
                  <w:gridSpan w:val="2"/>
                  <w:shd w:val="clear" w:color="auto" w:fill="D8D8D8"/>
                  <w:noWrap/>
                  <w:hideMark/>
                </w:tcPr>
                <w:p w14:paraId="0CB2D155" w14:textId="77777777" w:rsidR="009545F6" w:rsidRPr="0036044B" w:rsidRDefault="009545F6" w:rsidP="0036044B">
                  <w:pPr>
                    <w:jc w:val="right"/>
                    <w:rPr>
                      <w:bCs/>
                    </w:rPr>
                  </w:pPr>
                  <w:r w:rsidRPr="0036044B">
                    <w:rPr>
                      <w:bCs/>
                    </w:rPr>
                    <w:t>0.3%</w:t>
                  </w:r>
                </w:p>
              </w:tc>
            </w:tr>
            <w:tr w:rsidR="002B2AD7" w:rsidRPr="0036044B" w14:paraId="04CA01F0" w14:textId="77777777" w:rsidTr="009545F6">
              <w:trPr>
                <w:gridAfter w:val="2"/>
                <w:wAfter w:w="871" w:type="dxa"/>
                <w:trHeight w:val="315"/>
              </w:trPr>
              <w:tc>
                <w:tcPr>
                  <w:tcW w:w="2246" w:type="dxa"/>
                  <w:tcBorders>
                    <w:left w:val="nil"/>
                    <w:bottom w:val="nil"/>
                    <w:right w:val="nil"/>
                  </w:tcBorders>
                  <w:shd w:val="clear" w:color="auto" w:fill="5B9BD5"/>
                  <w:hideMark/>
                </w:tcPr>
                <w:p w14:paraId="253E02A6" w14:textId="77777777" w:rsidR="009545F6" w:rsidRPr="0036044B" w:rsidRDefault="009545F6" w:rsidP="0036044B">
                  <w:pPr>
                    <w:rPr>
                      <w:b/>
                      <w:bCs/>
                    </w:rPr>
                  </w:pPr>
                </w:p>
              </w:tc>
              <w:tc>
                <w:tcPr>
                  <w:tcW w:w="1842" w:type="dxa"/>
                  <w:shd w:val="clear" w:color="auto" w:fill="auto"/>
                  <w:noWrap/>
                  <w:hideMark/>
                </w:tcPr>
                <w:p w14:paraId="56F8507A" w14:textId="77777777" w:rsidR="009545F6" w:rsidRPr="0036044B" w:rsidRDefault="009545F6" w:rsidP="0036044B">
                  <w:pPr>
                    <w:rPr>
                      <w:rFonts w:eastAsia="Calibri"/>
                    </w:rPr>
                  </w:pPr>
                </w:p>
              </w:tc>
              <w:tc>
                <w:tcPr>
                  <w:tcW w:w="870" w:type="dxa"/>
                  <w:shd w:val="clear" w:color="auto" w:fill="auto"/>
                  <w:noWrap/>
                  <w:hideMark/>
                </w:tcPr>
                <w:p w14:paraId="0F343EAD" w14:textId="77777777" w:rsidR="009545F6" w:rsidRPr="0036044B" w:rsidRDefault="009545F6" w:rsidP="0036044B">
                  <w:pPr>
                    <w:rPr>
                      <w:rFonts w:eastAsia="Calibri"/>
                    </w:rPr>
                  </w:pPr>
                </w:p>
              </w:tc>
              <w:tc>
                <w:tcPr>
                  <w:tcW w:w="871" w:type="dxa"/>
                  <w:shd w:val="clear" w:color="auto" w:fill="auto"/>
                  <w:noWrap/>
                  <w:hideMark/>
                </w:tcPr>
                <w:p w14:paraId="62552AF8" w14:textId="77777777" w:rsidR="009545F6" w:rsidRPr="0036044B" w:rsidRDefault="009545F6" w:rsidP="0036044B">
                  <w:pPr>
                    <w:rPr>
                      <w:rFonts w:eastAsia="Calibri"/>
                    </w:rPr>
                  </w:pPr>
                </w:p>
              </w:tc>
              <w:tc>
                <w:tcPr>
                  <w:tcW w:w="871" w:type="dxa"/>
                  <w:shd w:val="clear" w:color="auto" w:fill="auto"/>
                  <w:noWrap/>
                  <w:hideMark/>
                </w:tcPr>
                <w:p w14:paraId="785E47CE" w14:textId="77777777" w:rsidR="009545F6" w:rsidRPr="0036044B" w:rsidRDefault="009545F6" w:rsidP="0036044B">
                  <w:pPr>
                    <w:rPr>
                      <w:rFonts w:eastAsia="Calibri"/>
                    </w:rPr>
                  </w:pPr>
                </w:p>
              </w:tc>
              <w:tc>
                <w:tcPr>
                  <w:tcW w:w="871" w:type="dxa"/>
                  <w:shd w:val="clear" w:color="auto" w:fill="auto"/>
                  <w:noWrap/>
                  <w:hideMark/>
                </w:tcPr>
                <w:p w14:paraId="53F59043" w14:textId="77777777" w:rsidR="009545F6" w:rsidRPr="0036044B" w:rsidRDefault="009545F6" w:rsidP="0036044B">
                  <w:pPr>
                    <w:rPr>
                      <w:rFonts w:eastAsia="Calibri"/>
                    </w:rPr>
                  </w:pPr>
                </w:p>
              </w:tc>
              <w:tc>
                <w:tcPr>
                  <w:tcW w:w="871" w:type="dxa"/>
                  <w:shd w:val="clear" w:color="auto" w:fill="auto"/>
                  <w:noWrap/>
                  <w:hideMark/>
                </w:tcPr>
                <w:p w14:paraId="0EAC3FDF" w14:textId="77777777" w:rsidR="009545F6" w:rsidRPr="0036044B" w:rsidRDefault="009545F6" w:rsidP="0036044B">
                  <w:pPr>
                    <w:rPr>
                      <w:rFonts w:eastAsia="Calibri"/>
                    </w:rPr>
                  </w:pPr>
                </w:p>
              </w:tc>
              <w:tc>
                <w:tcPr>
                  <w:tcW w:w="1657" w:type="dxa"/>
                  <w:gridSpan w:val="2"/>
                  <w:shd w:val="clear" w:color="auto" w:fill="auto"/>
                  <w:noWrap/>
                  <w:hideMark/>
                </w:tcPr>
                <w:p w14:paraId="011B0636" w14:textId="77777777" w:rsidR="009545F6" w:rsidRPr="0036044B" w:rsidRDefault="009545F6" w:rsidP="0036044B">
                  <w:pPr>
                    <w:rPr>
                      <w:rFonts w:eastAsia="Calibri"/>
                    </w:rPr>
                  </w:pPr>
                </w:p>
              </w:tc>
            </w:tr>
            <w:tr w:rsidR="002B2AD7" w:rsidRPr="0036044B" w14:paraId="21A7266F" w14:textId="77777777" w:rsidTr="009545F6">
              <w:trPr>
                <w:gridAfter w:val="2"/>
                <w:wAfter w:w="871" w:type="dxa"/>
                <w:trHeight w:val="330"/>
              </w:trPr>
              <w:tc>
                <w:tcPr>
                  <w:tcW w:w="2246" w:type="dxa"/>
                  <w:vMerge w:val="restart"/>
                  <w:tcBorders>
                    <w:left w:val="nil"/>
                    <w:bottom w:val="nil"/>
                    <w:right w:val="nil"/>
                  </w:tcBorders>
                  <w:shd w:val="clear" w:color="auto" w:fill="5B9BD5"/>
                  <w:hideMark/>
                </w:tcPr>
                <w:p w14:paraId="54B91021" w14:textId="77777777" w:rsidR="009545F6" w:rsidRPr="0036044B" w:rsidRDefault="009545F6" w:rsidP="0036044B">
                  <w:pPr>
                    <w:rPr>
                      <w:b/>
                      <w:bCs/>
                    </w:rPr>
                  </w:pPr>
                  <w:r w:rsidRPr="0036044B">
                    <w:rPr>
                      <w:b/>
                      <w:bCs/>
                    </w:rPr>
                    <w:t>C11 - Turism și cultură</w:t>
                  </w:r>
                </w:p>
              </w:tc>
              <w:tc>
                <w:tcPr>
                  <w:tcW w:w="1842" w:type="dxa"/>
                  <w:shd w:val="clear" w:color="auto" w:fill="D8D8D8"/>
                  <w:noWrap/>
                  <w:hideMark/>
                </w:tcPr>
                <w:p w14:paraId="5AACB350" w14:textId="77777777" w:rsidR="009545F6" w:rsidRPr="0036044B" w:rsidRDefault="009545F6" w:rsidP="0036044B">
                  <w:pPr>
                    <w:rPr>
                      <w:bCs/>
                    </w:rPr>
                  </w:pPr>
                  <w:r w:rsidRPr="0036044B">
                    <w:rPr>
                      <w:bCs/>
                    </w:rPr>
                    <w:t>Finanțare mld euro</w:t>
                  </w:r>
                </w:p>
              </w:tc>
              <w:tc>
                <w:tcPr>
                  <w:tcW w:w="870" w:type="dxa"/>
                  <w:shd w:val="clear" w:color="auto" w:fill="D8D8D8"/>
                  <w:noWrap/>
                  <w:hideMark/>
                </w:tcPr>
                <w:p w14:paraId="2E67DF2D" w14:textId="77777777" w:rsidR="009545F6" w:rsidRPr="0036044B" w:rsidRDefault="009545F6" w:rsidP="0036044B">
                  <w:pPr>
                    <w:jc w:val="right"/>
                    <w:rPr>
                      <w:bCs/>
                    </w:rPr>
                  </w:pPr>
                  <w:r w:rsidRPr="0036044B">
                    <w:rPr>
                      <w:bCs/>
                    </w:rPr>
                    <w:t>0.00</w:t>
                  </w:r>
                </w:p>
              </w:tc>
              <w:tc>
                <w:tcPr>
                  <w:tcW w:w="871" w:type="dxa"/>
                  <w:shd w:val="clear" w:color="auto" w:fill="D8D8D8"/>
                  <w:noWrap/>
                  <w:hideMark/>
                </w:tcPr>
                <w:p w14:paraId="61E99664" w14:textId="77777777" w:rsidR="009545F6" w:rsidRPr="0036044B" w:rsidRDefault="009545F6" w:rsidP="0036044B">
                  <w:pPr>
                    <w:jc w:val="right"/>
                    <w:rPr>
                      <w:bCs/>
                    </w:rPr>
                  </w:pPr>
                  <w:r w:rsidRPr="0036044B">
                    <w:rPr>
                      <w:bCs/>
                    </w:rPr>
                    <w:t>0.04</w:t>
                  </w:r>
                </w:p>
              </w:tc>
              <w:tc>
                <w:tcPr>
                  <w:tcW w:w="871" w:type="dxa"/>
                  <w:shd w:val="clear" w:color="auto" w:fill="D8D8D8"/>
                  <w:noWrap/>
                  <w:hideMark/>
                </w:tcPr>
                <w:p w14:paraId="593B5A63" w14:textId="77777777" w:rsidR="009545F6" w:rsidRPr="0036044B" w:rsidRDefault="009545F6" w:rsidP="0036044B">
                  <w:pPr>
                    <w:jc w:val="right"/>
                    <w:rPr>
                      <w:bCs/>
                    </w:rPr>
                  </w:pPr>
                  <w:r w:rsidRPr="0036044B">
                    <w:rPr>
                      <w:bCs/>
                    </w:rPr>
                    <w:t>0.04</w:t>
                  </w:r>
                </w:p>
              </w:tc>
              <w:tc>
                <w:tcPr>
                  <w:tcW w:w="871" w:type="dxa"/>
                  <w:shd w:val="clear" w:color="auto" w:fill="D8D8D8"/>
                  <w:noWrap/>
                  <w:hideMark/>
                </w:tcPr>
                <w:p w14:paraId="55075C8F" w14:textId="77777777" w:rsidR="009545F6" w:rsidRPr="0036044B" w:rsidRDefault="009545F6" w:rsidP="0036044B">
                  <w:pPr>
                    <w:jc w:val="right"/>
                    <w:rPr>
                      <w:bCs/>
                    </w:rPr>
                  </w:pPr>
                  <w:r w:rsidRPr="0036044B">
                    <w:rPr>
                      <w:bCs/>
                    </w:rPr>
                    <w:t>0.04</w:t>
                  </w:r>
                </w:p>
              </w:tc>
              <w:tc>
                <w:tcPr>
                  <w:tcW w:w="871" w:type="dxa"/>
                  <w:shd w:val="clear" w:color="auto" w:fill="D8D8D8"/>
                  <w:noWrap/>
                  <w:hideMark/>
                </w:tcPr>
                <w:p w14:paraId="1676B690" w14:textId="77777777" w:rsidR="009545F6" w:rsidRPr="0036044B" w:rsidRDefault="009545F6" w:rsidP="0036044B">
                  <w:pPr>
                    <w:jc w:val="right"/>
                    <w:rPr>
                      <w:bCs/>
                    </w:rPr>
                  </w:pPr>
                  <w:r w:rsidRPr="0036044B">
                    <w:rPr>
                      <w:bCs/>
                    </w:rPr>
                    <w:t>0.04</w:t>
                  </w:r>
                </w:p>
              </w:tc>
              <w:tc>
                <w:tcPr>
                  <w:tcW w:w="1657" w:type="dxa"/>
                  <w:gridSpan w:val="2"/>
                  <w:shd w:val="clear" w:color="auto" w:fill="D8D8D8"/>
                  <w:noWrap/>
                  <w:hideMark/>
                </w:tcPr>
                <w:p w14:paraId="63467945" w14:textId="77777777" w:rsidR="009545F6" w:rsidRPr="0036044B" w:rsidRDefault="009545F6" w:rsidP="0036044B">
                  <w:pPr>
                    <w:jc w:val="right"/>
                    <w:rPr>
                      <w:bCs/>
                    </w:rPr>
                  </w:pPr>
                  <w:r w:rsidRPr="0036044B">
                    <w:rPr>
                      <w:bCs/>
                    </w:rPr>
                    <w:t>0.04</w:t>
                  </w:r>
                </w:p>
              </w:tc>
            </w:tr>
            <w:tr w:rsidR="002B2AD7" w:rsidRPr="0036044B" w14:paraId="4A7D7B7D" w14:textId="77777777" w:rsidTr="009545F6">
              <w:trPr>
                <w:gridAfter w:val="2"/>
                <w:wAfter w:w="871" w:type="dxa"/>
                <w:trHeight w:val="330"/>
              </w:trPr>
              <w:tc>
                <w:tcPr>
                  <w:tcW w:w="2246" w:type="dxa"/>
                  <w:vMerge/>
                  <w:tcBorders>
                    <w:left w:val="nil"/>
                    <w:bottom w:val="nil"/>
                    <w:right w:val="nil"/>
                  </w:tcBorders>
                  <w:shd w:val="clear" w:color="auto" w:fill="5B9BD5"/>
                  <w:hideMark/>
                </w:tcPr>
                <w:p w14:paraId="247A260D" w14:textId="77777777" w:rsidR="009545F6" w:rsidRPr="0036044B" w:rsidRDefault="009545F6" w:rsidP="0036044B">
                  <w:pPr>
                    <w:rPr>
                      <w:b/>
                      <w:bCs/>
                    </w:rPr>
                  </w:pPr>
                </w:p>
              </w:tc>
              <w:tc>
                <w:tcPr>
                  <w:tcW w:w="1842" w:type="dxa"/>
                  <w:shd w:val="clear" w:color="auto" w:fill="auto"/>
                  <w:noWrap/>
                  <w:hideMark/>
                </w:tcPr>
                <w:p w14:paraId="7D127D43" w14:textId="77777777" w:rsidR="009545F6" w:rsidRPr="0036044B" w:rsidRDefault="009545F6" w:rsidP="0036044B">
                  <w:pPr>
                    <w:rPr>
                      <w:bCs/>
                    </w:rPr>
                  </w:pPr>
                  <w:r w:rsidRPr="0036044B">
                    <w:rPr>
                      <w:bCs/>
                    </w:rPr>
                    <w:t>Impact cumulat %</w:t>
                  </w:r>
                </w:p>
              </w:tc>
              <w:tc>
                <w:tcPr>
                  <w:tcW w:w="870" w:type="dxa"/>
                  <w:shd w:val="clear" w:color="auto" w:fill="auto"/>
                  <w:noWrap/>
                  <w:hideMark/>
                </w:tcPr>
                <w:p w14:paraId="495C6A8D" w14:textId="77777777" w:rsidR="009545F6" w:rsidRPr="0036044B" w:rsidRDefault="009545F6" w:rsidP="0036044B">
                  <w:pPr>
                    <w:jc w:val="right"/>
                    <w:rPr>
                      <w:bCs/>
                    </w:rPr>
                  </w:pPr>
                  <w:r w:rsidRPr="0036044B">
                    <w:rPr>
                      <w:bCs/>
                    </w:rPr>
                    <w:t>0.0%</w:t>
                  </w:r>
                </w:p>
              </w:tc>
              <w:tc>
                <w:tcPr>
                  <w:tcW w:w="871" w:type="dxa"/>
                  <w:shd w:val="clear" w:color="auto" w:fill="auto"/>
                  <w:noWrap/>
                  <w:hideMark/>
                </w:tcPr>
                <w:p w14:paraId="79707CC2" w14:textId="77777777" w:rsidR="009545F6" w:rsidRPr="0036044B" w:rsidRDefault="009545F6" w:rsidP="0036044B">
                  <w:pPr>
                    <w:jc w:val="right"/>
                    <w:rPr>
                      <w:bCs/>
                    </w:rPr>
                  </w:pPr>
                  <w:r w:rsidRPr="0036044B">
                    <w:rPr>
                      <w:bCs/>
                    </w:rPr>
                    <w:t>0.0%</w:t>
                  </w:r>
                </w:p>
              </w:tc>
              <w:tc>
                <w:tcPr>
                  <w:tcW w:w="871" w:type="dxa"/>
                  <w:shd w:val="clear" w:color="auto" w:fill="auto"/>
                  <w:noWrap/>
                  <w:hideMark/>
                </w:tcPr>
                <w:p w14:paraId="6B6F2100" w14:textId="77777777" w:rsidR="009545F6" w:rsidRPr="0036044B" w:rsidRDefault="009545F6" w:rsidP="0036044B">
                  <w:pPr>
                    <w:jc w:val="right"/>
                    <w:rPr>
                      <w:bCs/>
                    </w:rPr>
                  </w:pPr>
                  <w:r w:rsidRPr="0036044B">
                    <w:rPr>
                      <w:bCs/>
                    </w:rPr>
                    <w:t>0.0%</w:t>
                  </w:r>
                </w:p>
              </w:tc>
              <w:tc>
                <w:tcPr>
                  <w:tcW w:w="871" w:type="dxa"/>
                  <w:shd w:val="clear" w:color="auto" w:fill="auto"/>
                  <w:noWrap/>
                  <w:hideMark/>
                </w:tcPr>
                <w:p w14:paraId="2151E707" w14:textId="77777777" w:rsidR="009545F6" w:rsidRPr="0036044B" w:rsidRDefault="009545F6" w:rsidP="0036044B">
                  <w:pPr>
                    <w:jc w:val="right"/>
                    <w:rPr>
                      <w:bCs/>
                    </w:rPr>
                  </w:pPr>
                  <w:r w:rsidRPr="0036044B">
                    <w:rPr>
                      <w:bCs/>
                    </w:rPr>
                    <w:t>0.0%</w:t>
                  </w:r>
                </w:p>
              </w:tc>
              <w:tc>
                <w:tcPr>
                  <w:tcW w:w="871" w:type="dxa"/>
                  <w:shd w:val="clear" w:color="auto" w:fill="auto"/>
                  <w:noWrap/>
                  <w:hideMark/>
                </w:tcPr>
                <w:p w14:paraId="5E18ABEB" w14:textId="77777777" w:rsidR="009545F6" w:rsidRPr="0036044B" w:rsidRDefault="009545F6" w:rsidP="0036044B">
                  <w:pPr>
                    <w:jc w:val="right"/>
                    <w:rPr>
                      <w:bCs/>
                    </w:rPr>
                  </w:pPr>
                  <w:r w:rsidRPr="0036044B">
                    <w:rPr>
                      <w:bCs/>
                    </w:rPr>
                    <w:t>0.0%</w:t>
                  </w:r>
                </w:p>
              </w:tc>
              <w:tc>
                <w:tcPr>
                  <w:tcW w:w="1657" w:type="dxa"/>
                  <w:gridSpan w:val="2"/>
                  <w:shd w:val="clear" w:color="auto" w:fill="auto"/>
                  <w:noWrap/>
                  <w:hideMark/>
                </w:tcPr>
                <w:p w14:paraId="73882EEF" w14:textId="77777777" w:rsidR="009545F6" w:rsidRPr="0036044B" w:rsidRDefault="009545F6" w:rsidP="0036044B">
                  <w:pPr>
                    <w:jc w:val="right"/>
                    <w:rPr>
                      <w:bCs/>
                    </w:rPr>
                  </w:pPr>
                  <w:r w:rsidRPr="0036044B">
                    <w:rPr>
                      <w:bCs/>
                    </w:rPr>
                    <w:t>0.0%</w:t>
                  </w:r>
                </w:p>
              </w:tc>
            </w:tr>
            <w:tr w:rsidR="002B2AD7" w:rsidRPr="0036044B" w14:paraId="4A87FE6B" w14:textId="77777777" w:rsidTr="009545F6">
              <w:trPr>
                <w:gridAfter w:val="2"/>
                <w:wAfter w:w="871" w:type="dxa"/>
                <w:trHeight w:val="315"/>
              </w:trPr>
              <w:tc>
                <w:tcPr>
                  <w:tcW w:w="2246" w:type="dxa"/>
                  <w:tcBorders>
                    <w:left w:val="nil"/>
                    <w:bottom w:val="nil"/>
                    <w:right w:val="nil"/>
                  </w:tcBorders>
                  <w:shd w:val="clear" w:color="auto" w:fill="5B9BD5"/>
                  <w:hideMark/>
                </w:tcPr>
                <w:p w14:paraId="4AF73D35" w14:textId="77777777" w:rsidR="009545F6" w:rsidRPr="0036044B" w:rsidRDefault="009545F6" w:rsidP="0036044B">
                  <w:pPr>
                    <w:rPr>
                      <w:b/>
                      <w:bCs/>
                    </w:rPr>
                  </w:pPr>
                </w:p>
              </w:tc>
              <w:tc>
                <w:tcPr>
                  <w:tcW w:w="1842" w:type="dxa"/>
                  <w:shd w:val="clear" w:color="auto" w:fill="D8D8D8"/>
                  <w:noWrap/>
                  <w:hideMark/>
                </w:tcPr>
                <w:p w14:paraId="09F3E915" w14:textId="77777777" w:rsidR="009545F6" w:rsidRPr="0036044B" w:rsidRDefault="009545F6" w:rsidP="0036044B">
                  <w:pPr>
                    <w:rPr>
                      <w:rFonts w:eastAsia="Calibri"/>
                    </w:rPr>
                  </w:pPr>
                </w:p>
              </w:tc>
              <w:tc>
                <w:tcPr>
                  <w:tcW w:w="870" w:type="dxa"/>
                  <w:shd w:val="clear" w:color="auto" w:fill="D8D8D8"/>
                  <w:noWrap/>
                  <w:hideMark/>
                </w:tcPr>
                <w:p w14:paraId="6D418166" w14:textId="77777777" w:rsidR="009545F6" w:rsidRPr="0036044B" w:rsidRDefault="009545F6" w:rsidP="0036044B">
                  <w:pPr>
                    <w:rPr>
                      <w:rFonts w:eastAsia="Calibri"/>
                    </w:rPr>
                  </w:pPr>
                </w:p>
              </w:tc>
              <w:tc>
                <w:tcPr>
                  <w:tcW w:w="871" w:type="dxa"/>
                  <w:shd w:val="clear" w:color="auto" w:fill="D8D8D8"/>
                  <w:noWrap/>
                  <w:hideMark/>
                </w:tcPr>
                <w:p w14:paraId="050E1DCB" w14:textId="77777777" w:rsidR="009545F6" w:rsidRPr="0036044B" w:rsidRDefault="009545F6" w:rsidP="0036044B">
                  <w:pPr>
                    <w:rPr>
                      <w:rFonts w:eastAsia="Calibri"/>
                    </w:rPr>
                  </w:pPr>
                </w:p>
              </w:tc>
              <w:tc>
                <w:tcPr>
                  <w:tcW w:w="871" w:type="dxa"/>
                  <w:shd w:val="clear" w:color="auto" w:fill="D8D8D8"/>
                  <w:noWrap/>
                  <w:hideMark/>
                </w:tcPr>
                <w:p w14:paraId="0999B26A" w14:textId="77777777" w:rsidR="009545F6" w:rsidRPr="0036044B" w:rsidRDefault="009545F6" w:rsidP="0036044B">
                  <w:pPr>
                    <w:rPr>
                      <w:rFonts w:eastAsia="Calibri"/>
                    </w:rPr>
                  </w:pPr>
                </w:p>
              </w:tc>
              <w:tc>
                <w:tcPr>
                  <w:tcW w:w="871" w:type="dxa"/>
                  <w:shd w:val="clear" w:color="auto" w:fill="D8D8D8"/>
                  <w:noWrap/>
                  <w:hideMark/>
                </w:tcPr>
                <w:p w14:paraId="685E52CA" w14:textId="77777777" w:rsidR="009545F6" w:rsidRPr="0036044B" w:rsidRDefault="009545F6" w:rsidP="0036044B">
                  <w:pPr>
                    <w:rPr>
                      <w:rFonts w:eastAsia="Calibri"/>
                    </w:rPr>
                  </w:pPr>
                </w:p>
              </w:tc>
              <w:tc>
                <w:tcPr>
                  <w:tcW w:w="871" w:type="dxa"/>
                  <w:shd w:val="clear" w:color="auto" w:fill="D8D8D8"/>
                  <w:noWrap/>
                  <w:hideMark/>
                </w:tcPr>
                <w:p w14:paraId="059AF7C3" w14:textId="77777777" w:rsidR="009545F6" w:rsidRPr="0036044B" w:rsidRDefault="009545F6" w:rsidP="0036044B">
                  <w:pPr>
                    <w:rPr>
                      <w:rFonts w:eastAsia="Calibri"/>
                    </w:rPr>
                  </w:pPr>
                </w:p>
              </w:tc>
              <w:tc>
                <w:tcPr>
                  <w:tcW w:w="1657" w:type="dxa"/>
                  <w:gridSpan w:val="2"/>
                  <w:shd w:val="clear" w:color="auto" w:fill="D8D8D8"/>
                  <w:noWrap/>
                  <w:hideMark/>
                </w:tcPr>
                <w:p w14:paraId="251FA84B" w14:textId="77777777" w:rsidR="009545F6" w:rsidRPr="0036044B" w:rsidRDefault="009545F6" w:rsidP="0036044B">
                  <w:pPr>
                    <w:rPr>
                      <w:rFonts w:eastAsia="Calibri"/>
                    </w:rPr>
                  </w:pPr>
                </w:p>
              </w:tc>
            </w:tr>
            <w:tr w:rsidR="002B2AD7" w:rsidRPr="0036044B" w14:paraId="65BCF38B" w14:textId="77777777" w:rsidTr="009545F6">
              <w:trPr>
                <w:gridAfter w:val="2"/>
                <w:wAfter w:w="871" w:type="dxa"/>
                <w:trHeight w:val="330"/>
              </w:trPr>
              <w:tc>
                <w:tcPr>
                  <w:tcW w:w="2246" w:type="dxa"/>
                  <w:vMerge w:val="restart"/>
                  <w:tcBorders>
                    <w:left w:val="nil"/>
                    <w:bottom w:val="nil"/>
                    <w:right w:val="nil"/>
                  </w:tcBorders>
                  <w:shd w:val="clear" w:color="auto" w:fill="5B9BD5"/>
                  <w:hideMark/>
                </w:tcPr>
                <w:p w14:paraId="5E38190C" w14:textId="77777777" w:rsidR="009545F6" w:rsidRPr="0036044B" w:rsidRDefault="009545F6" w:rsidP="0036044B">
                  <w:pPr>
                    <w:rPr>
                      <w:b/>
                      <w:bCs/>
                    </w:rPr>
                  </w:pPr>
                  <w:r w:rsidRPr="0036044B">
                    <w:rPr>
                      <w:b/>
                      <w:bCs/>
                    </w:rPr>
                    <w:t>C12 - Sănătate</w:t>
                  </w:r>
                </w:p>
              </w:tc>
              <w:tc>
                <w:tcPr>
                  <w:tcW w:w="1842" w:type="dxa"/>
                  <w:shd w:val="clear" w:color="auto" w:fill="auto"/>
                  <w:noWrap/>
                  <w:hideMark/>
                </w:tcPr>
                <w:p w14:paraId="2925DAD2" w14:textId="77777777" w:rsidR="009545F6" w:rsidRPr="0036044B" w:rsidRDefault="009545F6" w:rsidP="0036044B">
                  <w:pPr>
                    <w:rPr>
                      <w:bCs/>
                    </w:rPr>
                  </w:pPr>
                  <w:r w:rsidRPr="0036044B">
                    <w:rPr>
                      <w:bCs/>
                    </w:rPr>
                    <w:t>Finanțare mld euro</w:t>
                  </w:r>
                </w:p>
              </w:tc>
              <w:tc>
                <w:tcPr>
                  <w:tcW w:w="870" w:type="dxa"/>
                  <w:shd w:val="clear" w:color="auto" w:fill="auto"/>
                  <w:noWrap/>
                  <w:hideMark/>
                </w:tcPr>
                <w:p w14:paraId="2C486EA0" w14:textId="77777777" w:rsidR="009545F6" w:rsidRPr="0036044B" w:rsidRDefault="009545F6" w:rsidP="0036044B">
                  <w:pPr>
                    <w:jc w:val="right"/>
                    <w:rPr>
                      <w:bCs/>
                    </w:rPr>
                  </w:pPr>
                  <w:r w:rsidRPr="0036044B">
                    <w:rPr>
                      <w:bCs/>
                    </w:rPr>
                    <w:t>0.00</w:t>
                  </w:r>
                </w:p>
              </w:tc>
              <w:tc>
                <w:tcPr>
                  <w:tcW w:w="871" w:type="dxa"/>
                  <w:shd w:val="clear" w:color="auto" w:fill="auto"/>
                  <w:noWrap/>
                  <w:hideMark/>
                </w:tcPr>
                <w:p w14:paraId="71C8BCC6" w14:textId="77777777" w:rsidR="009545F6" w:rsidRPr="0036044B" w:rsidRDefault="009545F6" w:rsidP="0036044B">
                  <w:pPr>
                    <w:jc w:val="right"/>
                    <w:rPr>
                      <w:bCs/>
                    </w:rPr>
                  </w:pPr>
                  <w:r w:rsidRPr="0036044B">
                    <w:rPr>
                      <w:bCs/>
                    </w:rPr>
                    <w:t>0.37</w:t>
                  </w:r>
                </w:p>
              </w:tc>
              <w:tc>
                <w:tcPr>
                  <w:tcW w:w="871" w:type="dxa"/>
                  <w:shd w:val="clear" w:color="auto" w:fill="auto"/>
                  <w:noWrap/>
                  <w:hideMark/>
                </w:tcPr>
                <w:p w14:paraId="3CFEF12A" w14:textId="77777777" w:rsidR="009545F6" w:rsidRPr="0036044B" w:rsidRDefault="009545F6" w:rsidP="0036044B">
                  <w:pPr>
                    <w:jc w:val="right"/>
                    <w:rPr>
                      <w:bCs/>
                    </w:rPr>
                  </w:pPr>
                  <w:r w:rsidRPr="0036044B">
                    <w:rPr>
                      <w:bCs/>
                    </w:rPr>
                    <w:t>0.49</w:t>
                  </w:r>
                </w:p>
              </w:tc>
              <w:tc>
                <w:tcPr>
                  <w:tcW w:w="871" w:type="dxa"/>
                  <w:shd w:val="clear" w:color="auto" w:fill="auto"/>
                  <w:noWrap/>
                  <w:hideMark/>
                </w:tcPr>
                <w:p w14:paraId="1B76AE34" w14:textId="77777777" w:rsidR="009545F6" w:rsidRPr="0036044B" w:rsidRDefault="009545F6" w:rsidP="0036044B">
                  <w:pPr>
                    <w:jc w:val="right"/>
                    <w:rPr>
                      <w:bCs/>
                    </w:rPr>
                  </w:pPr>
                  <w:r w:rsidRPr="0036044B">
                    <w:rPr>
                      <w:bCs/>
                    </w:rPr>
                    <w:t>0.54</w:t>
                  </w:r>
                </w:p>
              </w:tc>
              <w:tc>
                <w:tcPr>
                  <w:tcW w:w="871" w:type="dxa"/>
                  <w:shd w:val="clear" w:color="auto" w:fill="auto"/>
                  <w:noWrap/>
                  <w:hideMark/>
                </w:tcPr>
                <w:p w14:paraId="3305C17B" w14:textId="77777777" w:rsidR="009545F6" w:rsidRPr="0036044B" w:rsidRDefault="009545F6" w:rsidP="0036044B">
                  <w:pPr>
                    <w:jc w:val="right"/>
                    <w:rPr>
                      <w:bCs/>
                    </w:rPr>
                  </w:pPr>
                  <w:r w:rsidRPr="0036044B">
                    <w:rPr>
                      <w:bCs/>
                    </w:rPr>
                    <w:t>0.62</w:t>
                  </w:r>
                </w:p>
              </w:tc>
              <w:tc>
                <w:tcPr>
                  <w:tcW w:w="1657" w:type="dxa"/>
                  <w:gridSpan w:val="2"/>
                  <w:shd w:val="clear" w:color="auto" w:fill="auto"/>
                  <w:noWrap/>
                  <w:hideMark/>
                </w:tcPr>
                <w:p w14:paraId="7EDC552F" w14:textId="77777777" w:rsidR="009545F6" w:rsidRPr="0036044B" w:rsidRDefault="009545F6" w:rsidP="0036044B">
                  <w:pPr>
                    <w:jc w:val="right"/>
                    <w:rPr>
                      <w:bCs/>
                    </w:rPr>
                  </w:pPr>
                  <w:r w:rsidRPr="0036044B">
                    <w:rPr>
                      <w:bCs/>
                    </w:rPr>
                    <w:t>0.45</w:t>
                  </w:r>
                </w:p>
              </w:tc>
            </w:tr>
            <w:tr w:rsidR="002B2AD7" w:rsidRPr="0036044B" w14:paraId="493D5575" w14:textId="77777777" w:rsidTr="009545F6">
              <w:trPr>
                <w:gridAfter w:val="2"/>
                <w:wAfter w:w="871" w:type="dxa"/>
                <w:trHeight w:val="330"/>
              </w:trPr>
              <w:tc>
                <w:tcPr>
                  <w:tcW w:w="2246" w:type="dxa"/>
                  <w:vMerge/>
                  <w:tcBorders>
                    <w:left w:val="nil"/>
                    <w:bottom w:val="nil"/>
                    <w:right w:val="nil"/>
                  </w:tcBorders>
                  <w:shd w:val="clear" w:color="auto" w:fill="5B9BD5"/>
                  <w:hideMark/>
                </w:tcPr>
                <w:p w14:paraId="1CD804EC" w14:textId="77777777" w:rsidR="009545F6" w:rsidRPr="0036044B" w:rsidRDefault="009545F6" w:rsidP="0036044B">
                  <w:pPr>
                    <w:rPr>
                      <w:b/>
                      <w:bCs/>
                    </w:rPr>
                  </w:pPr>
                </w:p>
              </w:tc>
              <w:tc>
                <w:tcPr>
                  <w:tcW w:w="1842" w:type="dxa"/>
                  <w:shd w:val="clear" w:color="auto" w:fill="D8D8D8"/>
                  <w:noWrap/>
                  <w:hideMark/>
                </w:tcPr>
                <w:p w14:paraId="26419B04" w14:textId="77777777" w:rsidR="009545F6" w:rsidRPr="0036044B" w:rsidRDefault="009545F6" w:rsidP="0036044B">
                  <w:pPr>
                    <w:rPr>
                      <w:bCs/>
                    </w:rPr>
                  </w:pPr>
                  <w:r w:rsidRPr="0036044B">
                    <w:rPr>
                      <w:bCs/>
                    </w:rPr>
                    <w:t>Impact cumulat %</w:t>
                  </w:r>
                </w:p>
              </w:tc>
              <w:tc>
                <w:tcPr>
                  <w:tcW w:w="870" w:type="dxa"/>
                  <w:shd w:val="clear" w:color="auto" w:fill="D8D8D8"/>
                  <w:noWrap/>
                  <w:hideMark/>
                </w:tcPr>
                <w:p w14:paraId="3DE4B4A8" w14:textId="77777777" w:rsidR="009545F6" w:rsidRPr="0036044B" w:rsidRDefault="009545F6" w:rsidP="0036044B">
                  <w:pPr>
                    <w:jc w:val="right"/>
                    <w:rPr>
                      <w:bCs/>
                    </w:rPr>
                  </w:pPr>
                  <w:r w:rsidRPr="0036044B">
                    <w:rPr>
                      <w:bCs/>
                    </w:rPr>
                    <w:t>0.0%</w:t>
                  </w:r>
                </w:p>
              </w:tc>
              <w:tc>
                <w:tcPr>
                  <w:tcW w:w="871" w:type="dxa"/>
                  <w:shd w:val="clear" w:color="auto" w:fill="D8D8D8"/>
                  <w:noWrap/>
                  <w:hideMark/>
                </w:tcPr>
                <w:p w14:paraId="09F36075" w14:textId="77777777" w:rsidR="009545F6" w:rsidRPr="0036044B" w:rsidRDefault="009545F6" w:rsidP="0036044B">
                  <w:pPr>
                    <w:jc w:val="right"/>
                    <w:rPr>
                      <w:bCs/>
                    </w:rPr>
                  </w:pPr>
                  <w:r w:rsidRPr="0036044B">
                    <w:rPr>
                      <w:bCs/>
                    </w:rPr>
                    <w:t>0.1%</w:t>
                  </w:r>
                </w:p>
              </w:tc>
              <w:tc>
                <w:tcPr>
                  <w:tcW w:w="871" w:type="dxa"/>
                  <w:shd w:val="clear" w:color="auto" w:fill="D8D8D8"/>
                  <w:noWrap/>
                  <w:hideMark/>
                </w:tcPr>
                <w:p w14:paraId="58C830A9" w14:textId="77777777" w:rsidR="009545F6" w:rsidRPr="0036044B" w:rsidRDefault="009545F6" w:rsidP="0036044B">
                  <w:pPr>
                    <w:jc w:val="right"/>
                    <w:rPr>
                      <w:bCs/>
                    </w:rPr>
                  </w:pPr>
                  <w:r w:rsidRPr="0036044B">
                    <w:rPr>
                      <w:bCs/>
                    </w:rPr>
                    <w:t>0.2%</w:t>
                  </w:r>
                </w:p>
              </w:tc>
              <w:tc>
                <w:tcPr>
                  <w:tcW w:w="871" w:type="dxa"/>
                  <w:shd w:val="clear" w:color="auto" w:fill="D8D8D8"/>
                  <w:noWrap/>
                  <w:hideMark/>
                </w:tcPr>
                <w:p w14:paraId="12FF9A2A" w14:textId="77777777" w:rsidR="009545F6" w:rsidRPr="0036044B" w:rsidRDefault="009545F6" w:rsidP="0036044B">
                  <w:pPr>
                    <w:jc w:val="right"/>
                    <w:rPr>
                      <w:bCs/>
                    </w:rPr>
                  </w:pPr>
                  <w:r w:rsidRPr="0036044B">
                    <w:rPr>
                      <w:bCs/>
                    </w:rPr>
                    <w:t>0.3%</w:t>
                  </w:r>
                </w:p>
              </w:tc>
              <w:tc>
                <w:tcPr>
                  <w:tcW w:w="871" w:type="dxa"/>
                  <w:shd w:val="clear" w:color="auto" w:fill="D8D8D8"/>
                  <w:noWrap/>
                  <w:hideMark/>
                </w:tcPr>
                <w:p w14:paraId="72C9FDC5" w14:textId="77777777" w:rsidR="009545F6" w:rsidRPr="0036044B" w:rsidRDefault="009545F6" w:rsidP="0036044B">
                  <w:pPr>
                    <w:jc w:val="right"/>
                    <w:rPr>
                      <w:bCs/>
                    </w:rPr>
                  </w:pPr>
                  <w:r w:rsidRPr="0036044B">
                    <w:rPr>
                      <w:bCs/>
                    </w:rPr>
                    <w:t>0.4%</w:t>
                  </w:r>
                </w:p>
              </w:tc>
              <w:tc>
                <w:tcPr>
                  <w:tcW w:w="1657" w:type="dxa"/>
                  <w:gridSpan w:val="2"/>
                  <w:shd w:val="clear" w:color="auto" w:fill="D8D8D8"/>
                  <w:noWrap/>
                  <w:hideMark/>
                </w:tcPr>
                <w:p w14:paraId="4A195777" w14:textId="77777777" w:rsidR="009545F6" w:rsidRPr="0036044B" w:rsidRDefault="009545F6" w:rsidP="0036044B">
                  <w:pPr>
                    <w:jc w:val="right"/>
                    <w:rPr>
                      <w:bCs/>
                    </w:rPr>
                  </w:pPr>
                  <w:r w:rsidRPr="0036044B">
                    <w:rPr>
                      <w:bCs/>
                    </w:rPr>
                    <w:t>0.4%</w:t>
                  </w:r>
                </w:p>
              </w:tc>
            </w:tr>
            <w:tr w:rsidR="002B2AD7" w:rsidRPr="0036044B" w14:paraId="5709BEA8" w14:textId="77777777" w:rsidTr="009545F6">
              <w:trPr>
                <w:gridAfter w:val="2"/>
                <w:wAfter w:w="871" w:type="dxa"/>
                <w:trHeight w:val="315"/>
              </w:trPr>
              <w:tc>
                <w:tcPr>
                  <w:tcW w:w="2246" w:type="dxa"/>
                  <w:tcBorders>
                    <w:left w:val="nil"/>
                    <w:bottom w:val="nil"/>
                    <w:right w:val="nil"/>
                  </w:tcBorders>
                  <w:shd w:val="clear" w:color="auto" w:fill="5B9BD5"/>
                  <w:hideMark/>
                </w:tcPr>
                <w:p w14:paraId="5104528D" w14:textId="77777777" w:rsidR="009545F6" w:rsidRPr="0036044B" w:rsidRDefault="009545F6" w:rsidP="0036044B">
                  <w:pPr>
                    <w:rPr>
                      <w:b/>
                      <w:bCs/>
                    </w:rPr>
                  </w:pPr>
                </w:p>
              </w:tc>
              <w:tc>
                <w:tcPr>
                  <w:tcW w:w="1842" w:type="dxa"/>
                  <w:shd w:val="clear" w:color="auto" w:fill="auto"/>
                  <w:noWrap/>
                  <w:hideMark/>
                </w:tcPr>
                <w:p w14:paraId="2DDFDE64" w14:textId="77777777" w:rsidR="009545F6" w:rsidRPr="0036044B" w:rsidRDefault="009545F6" w:rsidP="0036044B">
                  <w:pPr>
                    <w:rPr>
                      <w:rFonts w:eastAsia="Calibri"/>
                    </w:rPr>
                  </w:pPr>
                </w:p>
              </w:tc>
              <w:tc>
                <w:tcPr>
                  <w:tcW w:w="870" w:type="dxa"/>
                  <w:shd w:val="clear" w:color="auto" w:fill="auto"/>
                  <w:noWrap/>
                  <w:hideMark/>
                </w:tcPr>
                <w:p w14:paraId="00635CC7" w14:textId="77777777" w:rsidR="009545F6" w:rsidRPr="0036044B" w:rsidRDefault="009545F6" w:rsidP="0036044B">
                  <w:pPr>
                    <w:rPr>
                      <w:rFonts w:eastAsia="Calibri"/>
                    </w:rPr>
                  </w:pPr>
                </w:p>
              </w:tc>
              <w:tc>
                <w:tcPr>
                  <w:tcW w:w="871" w:type="dxa"/>
                  <w:shd w:val="clear" w:color="auto" w:fill="auto"/>
                  <w:noWrap/>
                  <w:hideMark/>
                </w:tcPr>
                <w:p w14:paraId="7EEAE57A" w14:textId="77777777" w:rsidR="009545F6" w:rsidRPr="0036044B" w:rsidRDefault="009545F6" w:rsidP="0036044B">
                  <w:pPr>
                    <w:rPr>
                      <w:rFonts w:eastAsia="Calibri"/>
                    </w:rPr>
                  </w:pPr>
                </w:p>
              </w:tc>
              <w:tc>
                <w:tcPr>
                  <w:tcW w:w="871" w:type="dxa"/>
                  <w:shd w:val="clear" w:color="auto" w:fill="auto"/>
                  <w:noWrap/>
                  <w:hideMark/>
                </w:tcPr>
                <w:p w14:paraId="14727974" w14:textId="77777777" w:rsidR="009545F6" w:rsidRPr="0036044B" w:rsidRDefault="009545F6" w:rsidP="0036044B">
                  <w:pPr>
                    <w:rPr>
                      <w:rFonts w:eastAsia="Calibri"/>
                    </w:rPr>
                  </w:pPr>
                </w:p>
              </w:tc>
              <w:tc>
                <w:tcPr>
                  <w:tcW w:w="871" w:type="dxa"/>
                  <w:shd w:val="clear" w:color="auto" w:fill="auto"/>
                  <w:noWrap/>
                  <w:hideMark/>
                </w:tcPr>
                <w:p w14:paraId="06AA09DF" w14:textId="77777777" w:rsidR="009545F6" w:rsidRPr="0036044B" w:rsidRDefault="009545F6" w:rsidP="0036044B">
                  <w:pPr>
                    <w:rPr>
                      <w:rFonts w:eastAsia="Calibri"/>
                    </w:rPr>
                  </w:pPr>
                </w:p>
              </w:tc>
              <w:tc>
                <w:tcPr>
                  <w:tcW w:w="871" w:type="dxa"/>
                  <w:shd w:val="clear" w:color="auto" w:fill="auto"/>
                  <w:noWrap/>
                  <w:hideMark/>
                </w:tcPr>
                <w:p w14:paraId="4449625D" w14:textId="77777777" w:rsidR="009545F6" w:rsidRPr="0036044B" w:rsidRDefault="009545F6" w:rsidP="0036044B">
                  <w:pPr>
                    <w:rPr>
                      <w:rFonts w:eastAsia="Calibri"/>
                    </w:rPr>
                  </w:pPr>
                </w:p>
              </w:tc>
              <w:tc>
                <w:tcPr>
                  <w:tcW w:w="1657" w:type="dxa"/>
                  <w:gridSpan w:val="2"/>
                  <w:shd w:val="clear" w:color="auto" w:fill="auto"/>
                  <w:noWrap/>
                  <w:hideMark/>
                </w:tcPr>
                <w:p w14:paraId="4E4F6605" w14:textId="77777777" w:rsidR="009545F6" w:rsidRPr="0036044B" w:rsidRDefault="009545F6" w:rsidP="0036044B">
                  <w:pPr>
                    <w:rPr>
                      <w:rFonts w:eastAsia="Calibri"/>
                    </w:rPr>
                  </w:pPr>
                </w:p>
              </w:tc>
            </w:tr>
            <w:tr w:rsidR="002B2AD7" w:rsidRPr="0036044B" w14:paraId="442F27A8" w14:textId="77777777" w:rsidTr="009545F6">
              <w:trPr>
                <w:gridAfter w:val="2"/>
                <w:wAfter w:w="871" w:type="dxa"/>
                <w:trHeight w:val="330"/>
              </w:trPr>
              <w:tc>
                <w:tcPr>
                  <w:tcW w:w="2246" w:type="dxa"/>
                  <w:vMerge w:val="restart"/>
                  <w:tcBorders>
                    <w:left w:val="nil"/>
                    <w:bottom w:val="nil"/>
                    <w:right w:val="nil"/>
                  </w:tcBorders>
                  <w:shd w:val="clear" w:color="auto" w:fill="5B9BD5"/>
                  <w:hideMark/>
                </w:tcPr>
                <w:p w14:paraId="2BE42200" w14:textId="77777777" w:rsidR="009545F6" w:rsidRPr="0036044B" w:rsidRDefault="009545F6" w:rsidP="0036044B">
                  <w:pPr>
                    <w:rPr>
                      <w:b/>
                      <w:bCs/>
                    </w:rPr>
                  </w:pPr>
                  <w:r w:rsidRPr="0036044B">
                    <w:rPr>
                      <w:b/>
                      <w:bCs/>
                    </w:rPr>
                    <w:lastRenderedPageBreak/>
                    <w:t>C13 - Reforme sociale</w:t>
                  </w:r>
                </w:p>
              </w:tc>
              <w:tc>
                <w:tcPr>
                  <w:tcW w:w="1842" w:type="dxa"/>
                  <w:shd w:val="clear" w:color="auto" w:fill="D8D8D8"/>
                  <w:noWrap/>
                  <w:hideMark/>
                </w:tcPr>
                <w:p w14:paraId="69F93436" w14:textId="77777777" w:rsidR="009545F6" w:rsidRPr="0036044B" w:rsidRDefault="009545F6" w:rsidP="0036044B">
                  <w:pPr>
                    <w:rPr>
                      <w:bCs/>
                    </w:rPr>
                  </w:pPr>
                  <w:r w:rsidRPr="0036044B">
                    <w:rPr>
                      <w:bCs/>
                    </w:rPr>
                    <w:t>Finanțare mld euro</w:t>
                  </w:r>
                </w:p>
              </w:tc>
              <w:tc>
                <w:tcPr>
                  <w:tcW w:w="870" w:type="dxa"/>
                  <w:shd w:val="clear" w:color="auto" w:fill="D8D8D8"/>
                  <w:noWrap/>
                  <w:hideMark/>
                </w:tcPr>
                <w:p w14:paraId="1854F022" w14:textId="77777777" w:rsidR="009545F6" w:rsidRPr="0036044B" w:rsidRDefault="009545F6" w:rsidP="0036044B">
                  <w:pPr>
                    <w:jc w:val="right"/>
                    <w:rPr>
                      <w:bCs/>
                    </w:rPr>
                  </w:pPr>
                  <w:r w:rsidRPr="0036044B">
                    <w:rPr>
                      <w:bCs/>
                    </w:rPr>
                    <w:t>0.00</w:t>
                  </w:r>
                </w:p>
              </w:tc>
              <w:tc>
                <w:tcPr>
                  <w:tcW w:w="871" w:type="dxa"/>
                  <w:shd w:val="clear" w:color="auto" w:fill="D8D8D8"/>
                  <w:noWrap/>
                  <w:hideMark/>
                </w:tcPr>
                <w:p w14:paraId="0D8D0D24" w14:textId="77777777" w:rsidR="009545F6" w:rsidRPr="0036044B" w:rsidRDefault="009545F6" w:rsidP="0036044B">
                  <w:pPr>
                    <w:jc w:val="right"/>
                    <w:rPr>
                      <w:bCs/>
                    </w:rPr>
                  </w:pPr>
                  <w:r w:rsidRPr="0036044B">
                    <w:rPr>
                      <w:bCs/>
                    </w:rPr>
                    <w:t>0.00</w:t>
                  </w:r>
                </w:p>
              </w:tc>
              <w:tc>
                <w:tcPr>
                  <w:tcW w:w="871" w:type="dxa"/>
                  <w:shd w:val="clear" w:color="auto" w:fill="D8D8D8"/>
                  <w:noWrap/>
                  <w:hideMark/>
                </w:tcPr>
                <w:p w14:paraId="773DC7CF" w14:textId="77777777" w:rsidR="009545F6" w:rsidRPr="0036044B" w:rsidRDefault="009545F6" w:rsidP="0036044B">
                  <w:pPr>
                    <w:jc w:val="right"/>
                    <w:rPr>
                      <w:bCs/>
                    </w:rPr>
                  </w:pPr>
                  <w:r w:rsidRPr="0036044B">
                    <w:rPr>
                      <w:bCs/>
                    </w:rPr>
                    <w:t>0.02</w:t>
                  </w:r>
                </w:p>
              </w:tc>
              <w:tc>
                <w:tcPr>
                  <w:tcW w:w="871" w:type="dxa"/>
                  <w:shd w:val="clear" w:color="auto" w:fill="D8D8D8"/>
                  <w:noWrap/>
                  <w:hideMark/>
                </w:tcPr>
                <w:p w14:paraId="18275713" w14:textId="77777777" w:rsidR="009545F6" w:rsidRPr="0036044B" w:rsidRDefault="009545F6" w:rsidP="0036044B">
                  <w:pPr>
                    <w:jc w:val="right"/>
                    <w:rPr>
                      <w:bCs/>
                    </w:rPr>
                  </w:pPr>
                  <w:r w:rsidRPr="0036044B">
                    <w:rPr>
                      <w:bCs/>
                    </w:rPr>
                    <w:t>0.07</w:t>
                  </w:r>
                </w:p>
              </w:tc>
              <w:tc>
                <w:tcPr>
                  <w:tcW w:w="871" w:type="dxa"/>
                  <w:shd w:val="clear" w:color="auto" w:fill="D8D8D8"/>
                  <w:noWrap/>
                  <w:hideMark/>
                </w:tcPr>
                <w:p w14:paraId="38442595" w14:textId="77777777" w:rsidR="009545F6" w:rsidRPr="0036044B" w:rsidRDefault="009545F6" w:rsidP="0036044B">
                  <w:pPr>
                    <w:jc w:val="right"/>
                    <w:rPr>
                      <w:bCs/>
                    </w:rPr>
                  </w:pPr>
                  <w:r w:rsidRPr="0036044B">
                    <w:rPr>
                      <w:bCs/>
                    </w:rPr>
                    <w:t>0.07</w:t>
                  </w:r>
                </w:p>
              </w:tc>
              <w:tc>
                <w:tcPr>
                  <w:tcW w:w="1657" w:type="dxa"/>
                  <w:gridSpan w:val="2"/>
                  <w:shd w:val="clear" w:color="auto" w:fill="D8D8D8"/>
                  <w:noWrap/>
                  <w:hideMark/>
                </w:tcPr>
                <w:p w14:paraId="29628904" w14:textId="77777777" w:rsidR="009545F6" w:rsidRPr="0036044B" w:rsidRDefault="009545F6" w:rsidP="0036044B">
                  <w:pPr>
                    <w:jc w:val="right"/>
                    <w:rPr>
                      <w:bCs/>
                    </w:rPr>
                  </w:pPr>
                  <w:r w:rsidRPr="0036044B">
                    <w:rPr>
                      <w:bCs/>
                    </w:rPr>
                    <w:t>0.06</w:t>
                  </w:r>
                </w:p>
              </w:tc>
            </w:tr>
            <w:tr w:rsidR="002B2AD7" w:rsidRPr="0036044B" w14:paraId="407CC77F" w14:textId="77777777" w:rsidTr="009545F6">
              <w:trPr>
                <w:gridAfter w:val="2"/>
                <w:wAfter w:w="871" w:type="dxa"/>
                <w:trHeight w:val="330"/>
              </w:trPr>
              <w:tc>
                <w:tcPr>
                  <w:tcW w:w="2246" w:type="dxa"/>
                  <w:vMerge/>
                  <w:tcBorders>
                    <w:left w:val="nil"/>
                    <w:bottom w:val="nil"/>
                    <w:right w:val="nil"/>
                  </w:tcBorders>
                  <w:shd w:val="clear" w:color="auto" w:fill="5B9BD5"/>
                  <w:hideMark/>
                </w:tcPr>
                <w:p w14:paraId="601143A0" w14:textId="77777777" w:rsidR="009545F6" w:rsidRPr="0036044B" w:rsidRDefault="009545F6" w:rsidP="0036044B">
                  <w:pPr>
                    <w:rPr>
                      <w:b/>
                      <w:bCs/>
                    </w:rPr>
                  </w:pPr>
                </w:p>
              </w:tc>
              <w:tc>
                <w:tcPr>
                  <w:tcW w:w="1842" w:type="dxa"/>
                  <w:shd w:val="clear" w:color="auto" w:fill="auto"/>
                  <w:noWrap/>
                  <w:hideMark/>
                </w:tcPr>
                <w:p w14:paraId="115C4B09" w14:textId="77777777" w:rsidR="009545F6" w:rsidRPr="0036044B" w:rsidRDefault="009545F6" w:rsidP="0036044B">
                  <w:pPr>
                    <w:rPr>
                      <w:bCs/>
                    </w:rPr>
                  </w:pPr>
                  <w:r w:rsidRPr="0036044B">
                    <w:rPr>
                      <w:bCs/>
                    </w:rPr>
                    <w:t>Impact cumulat %</w:t>
                  </w:r>
                </w:p>
              </w:tc>
              <w:tc>
                <w:tcPr>
                  <w:tcW w:w="870" w:type="dxa"/>
                  <w:shd w:val="clear" w:color="auto" w:fill="auto"/>
                  <w:noWrap/>
                  <w:hideMark/>
                </w:tcPr>
                <w:p w14:paraId="1CB7600E" w14:textId="77777777" w:rsidR="009545F6" w:rsidRPr="0036044B" w:rsidRDefault="009545F6" w:rsidP="0036044B">
                  <w:pPr>
                    <w:jc w:val="right"/>
                    <w:rPr>
                      <w:bCs/>
                    </w:rPr>
                  </w:pPr>
                  <w:r w:rsidRPr="0036044B">
                    <w:rPr>
                      <w:bCs/>
                    </w:rPr>
                    <w:t>0.0%</w:t>
                  </w:r>
                </w:p>
              </w:tc>
              <w:tc>
                <w:tcPr>
                  <w:tcW w:w="871" w:type="dxa"/>
                  <w:shd w:val="clear" w:color="auto" w:fill="auto"/>
                  <w:noWrap/>
                  <w:hideMark/>
                </w:tcPr>
                <w:p w14:paraId="41ECAD03" w14:textId="77777777" w:rsidR="009545F6" w:rsidRPr="0036044B" w:rsidRDefault="009545F6" w:rsidP="0036044B">
                  <w:pPr>
                    <w:jc w:val="right"/>
                    <w:rPr>
                      <w:bCs/>
                    </w:rPr>
                  </w:pPr>
                  <w:r w:rsidRPr="0036044B">
                    <w:rPr>
                      <w:bCs/>
                    </w:rPr>
                    <w:t>0.0%</w:t>
                  </w:r>
                </w:p>
              </w:tc>
              <w:tc>
                <w:tcPr>
                  <w:tcW w:w="871" w:type="dxa"/>
                  <w:shd w:val="clear" w:color="auto" w:fill="auto"/>
                  <w:noWrap/>
                  <w:hideMark/>
                </w:tcPr>
                <w:p w14:paraId="2FB62136" w14:textId="77777777" w:rsidR="009545F6" w:rsidRPr="0036044B" w:rsidRDefault="009545F6" w:rsidP="0036044B">
                  <w:pPr>
                    <w:jc w:val="right"/>
                    <w:rPr>
                      <w:bCs/>
                    </w:rPr>
                  </w:pPr>
                  <w:r w:rsidRPr="0036044B">
                    <w:rPr>
                      <w:bCs/>
                    </w:rPr>
                    <w:t>0.0%</w:t>
                  </w:r>
                </w:p>
              </w:tc>
              <w:tc>
                <w:tcPr>
                  <w:tcW w:w="871" w:type="dxa"/>
                  <w:shd w:val="clear" w:color="auto" w:fill="auto"/>
                  <w:noWrap/>
                  <w:hideMark/>
                </w:tcPr>
                <w:p w14:paraId="7924D547" w14:textId="77777777" w:rsidR="009545F6" w:rsidRPr="0036044B" w:rsidRDefault="009545F6" w:rsidP="0036044B">
                  <w:pPr>
                    <w:jc w:val="right"/>
                    <w:rPr>
                      <w:bCs/>
                    </w:rPr>
                  </w:pPr>
                  <w:r w:rsidRPr="0036044B">
                    <w:rPr>
                      <w:bCs/>
                    </w:rPr>
                    <w:t>0.0%</w:t>
                  </w:r>
                </w:p>
              </w:tc>
              <w:tc>
                <w:tcPr>
                  <w:tcW w:w="871" w:type="dxa"/>
                  <w:shd w:val="clear" w:color="auto" w:fill="auto"/>
                  <w:noWrap/>
                  <w:hideMark/>
                </w:tcPr>
                <w:p w14:paraId="1516FBA2" w14:textId="77777777" w:rsidR="009545F6" w:rsidRPr="0036044B" w:rsidRDefault="009545F6" w:rsidP="0036044B">
                  <w:pPr>
                    <w:jc w:val="right"/>
                    <w:rPr>
                      <w:bCs/>
                    </w:rPr>
                  </w:pPr>
                  <w:r w:rsidRPr="0036044B">
                    <w:rPr>
                      <w:bCs/>
                    </w:rPr>
                    <w:t>0.0%</w:t>
                  </w:r>
                </w:p>
              </w:tc>
              <w:tc>
                <w:tcPr>
                  <w:tcW w:w="1657" w:type="dxa"/>
                  <w:gridSpan w:val="2"/>
                  <w:shd w:val="clear" w:color="auto" w:fill="auto"/>
                  <w:noWrap/>
                  <w:hideMark/>
                </w:tcPr>
                <w:p w14:paraId="2DC02CA0" w14:textId="77777777" w:rsidR="009545F6" w:rsidRPr="0036044B" w:rsidRDefault="009545F6" w:rsidP="0036044B">
                  <w:pPr>
                    <w:jc w:val="right"/>
                    <w:rPr>
                      <w:bCs/>
                    </w:rPr>
                  </w:pPr>
                  <w:r w:rsidRPr="0036044B">
                    <w:rPr>
                      <w:bCs/>
                    </w:rPr>
                    <w:t>0.0%</w:t>
                  </w:r>
                </w:p>
              </w:tc>
            </w:tr>
            <w:tr w:rsidR="002B2AD7" w:rsidRPr="0036044B" w14:paraId="22C88978" w14:textId="77777777" w:rsidTr="009545F6">
              <w:trPr>
                <w:gridAfter w:val="2"/>
                <w:wAfter w:w="871" w:type="dxa"/>
                <w:trHeight w:val="315"/>
              </w:trPr>
              <w:tc>
                <w:tcPr>
                  <w:tcW w:w="2246" w:type="dxa"/>
                  <w:tcBorders>
                    <w:left w:val="nil"/>
                    <w:bottom w:val="nil"/>
                    <w:right w:val="nil"/>
                  </w:tcBorders>
                  <w:shd w:val="clear" w:color="auto" w:fill="5B9BD5"/>
                  <w:hideMark/>
                </w:tcPr>
                <w:p w14:paraId="0DFE3705" w14:textId="77777777" w:rsidR="009545F6" w:rsidRPr="0036044B" w:rsidRDefault="009545F6" w:rsidP="0036044B">
                  <w:pPr>
                    <w:rPr>
                      <w:b/>
                      <w:bCs/>
                    </w:rPr>
                  </w:pPr>
                </w:p>
              </w:tc>
              <w:tc>
                <w:tcPr>
                  <w:tcW w:w="1842" w:type="dxa"/>
                  <w:shd w:val="clear" w:color="auto" w:fill="D8D8D8"/>
                  <w:noWrap/>
                  <w:hideMark/>
                </w:tcPr>
                <w:p w14:paraId="6C917329" w14:textId="77777777" w:rsidR="009545F6" w:rsidRPr="0036044B" w:rsidRDefault="009545F6" w:rsidP="0036044B">
                  <w:pPr>
                    <w:rPr>
                      <w:rFonts w:eastAsia="Calibri"/>
                    </w:rPr>
                  </w:pPr>
                </w:p>
              </w:tc>
              <w:tc>
                <w:tcPr>
                  <w:tcW w:w="870" w:type="dxa"/>
                  <w:shd w:val="clear" w:color="auto" w:fill="D8D8D8"/>
                  <w:noWrap/>
                  <w:hideMark/>
                </w:tcPr>
                <w:p w14:paraId="22FBDC84" w14:textId="77777777" w:rsidR="009545F6" w:rsidRPr="0036044B" w:rsidRDefault="009545F6" w:rsidP="0036044B">
                  <w:pPr>
                    <w:rPr>
                      <w:rFonts w:eastAsia="Calibri"/>
                    </w:rPr>
                  </w:pPr>
                </w:p>
              </w:tc>
              <w:tc>
                <w:tcPr>
                  <w:tcW w:w="871" w:type="dxa"/>
                  <w:shd w:val="clear" w:color="auto" w:fill="D8D8D8"/>
                  <w:noWrap/>
                  <w:hideMark/>
                </w:tcPr>
                <w:p w14:paraId="334767BB" w14:textId="77777777" w:rsidR="009545F6" w:rsidRPr="0036044B" w:rsidRDefault="009545F6" w:rsidP="0036044B">
                  <w:pPr>
                    <w:rPr>
                      <w:rFonts w:eastAsia="Calibri"/>
                    </w:rPr>
                  </w:pPr>
                </w:p>
              </w:tc>
              <w:tc>
                <w:tcPr>
                  <w:tcW w:w="871" w:type="dxa"/>
                  <w:shd w:val="clear" w:color="auto" w:fill="D8D8D8"/>
                  <w:noWrap/>
                  <w:hideMark/>
                </w:tcPr>
                <w:p w14:paraId="5563381D" w14:textId="77777777" w:rsidR="009545F6" w:rsidRPr="0036044B" w:rsidRDefault="009545F6" w:rsidP="0036044B">
                  <w:pPr>
                    <w:rPr>
                      <w:rFonts w:eastAsia="Calibri"/>
                    </w:rPr>
                  </w:pPr>
                </w:p>
              </w:tc>
              <w:tc>
                <w:tcPr>
                  <w:tcW w:w="871" w:type="dxa"/>
                  <w:shd w:val="clear" w:color="auto" w:fill="D8D8D8"/>
                  <w:noWrap/>
                  <w:hideMark/>
                </w:tcPr>
                <w:p w14:paraId="5A6C9FCD" w14:textId="77777777" w:rsidR="009545F6" w:rsidRPr="0036044B" w:rsidRDefault="009545F6" w:rsidP="0036044B">
                  <w:pPr>
                    <w:rPr>
                      <w:rFonts w:eastAsia="Calibri"/>
                    </w:rPr>
                  </w:pPr>
                </w:p>
              </w:tc>
              <w:tc>
                <w:tcPr>
                  <w:tcW w:w="871" w:type="dxa"/>
                  <w:shd w:val="clear" w:color="auto" w:fill="D8D8D8"/>
                  <w:noWrap/>
                  <w:hideMark/>
                </w:tcPr>
                <w:p w14:paraId="143B7190" w14:textId="77777777" w:rsidR="009545F6" w:rsidRPr="0036044B" w:rsidRDefault="009545F6" w:rsidP="0036044B">
                  <w:pPr>
                    <w:rPr>
                      <w:rFonts w:eastAsia="Calibri"/>
                    </w:rPr>
                  </w:pPr>
                </w:p>
              </w:tc>
              <w:tc>
                <w:tcPr>
                  <w:tcW w:w="1657" w:type="dxa"/>
                  <w:gridSpan w:val="2"/>
                  <w:shd w:val="clear" w:color="auto" w:fill="D8D8D8"/>
                  <w:noWrap/>
                  <w:hideMark/>
                </w:tcPr>
                <w:p w14:paraId="47805EFA" w14:textId="77777777" w:rsidR="009545F6" w:rsidRPr="0036044B" w:rsidRDefault="009545F6" w:rsidP="0036044B">
                  <w:pPr>
                    <w:rPr>
                      <w:rFonts w:eastAsia="Calibri"/>
                    </w:rPr>
                  </w:pPr>
                </w:p>
              </w:tc>
            </w:tr>
            <w:tr w:rsidR="002B2AD7" w:rsidRPr="0036044B" w14:paraId="649B54CC" w14:textId="77777777" w:rsidTr="009545F6">
              <w:trPr>
                <w:gridAfter w:val="2"/>
                <w:wAfter w:w="871" w:type="dxa"/>
                <w:trHeight w:val="330"/>
              </w:trPr>
              <w:tc>
                <w:tcPr>
                  <w:tcW w:w="2246" w:type="dxa"/>
                  <w:vMerge w:val="restart"/>
                  <w:tcBorders>
                    <w:left w:val="nil"/>
                    <w:bottom w:val="nil"/>
                    <w:right w:val="nil"/>
                  </w:tcBorders>
                  <w:shd w:val="clear" w:color="auto" w:fill="5B9BD5"/>
                  <w:hideMark/>
                </w:tcPr>
                <w:p w14:paraId="024E829C" w14:textId="77777777" w:rsidR="009545F6" w:rsidRPr="0036044B" w:rsidRDefault="009545F6" w:rsidP="0036044B">
                  <w:pPr>
                    <w:rPr>
                      <w:b/>
                      <w:bCs/>
                    </w:rPr>
                  </w:pPr>
                  <w:r w:rsidRPr="0036044B">
                    <w:rPr>
                      <w:b/>
                      <w:bCs/>
                    </w:rPr>
                    <w:t>C14 – Buna Guvernanță</w:t>
                  </w:r>
                </w:p>
              </w:tc>
              <w:tc>
                <w:tcPr>
                  <w:tcW w:w="1842" w:type="dxa"/>
                  <w:shd w:val="clear" w:color="auto" w:fill="auto"/>
                  <w:noWrap/>
                  <w:hideMark/>
                </w:tcPr>
                <w:p w14:paraId="18F54F20" w14:textId="77777777" w:rsidR="009545F6" w:rsidRPr="0036044B" w:rsidRDefault="009545F6" w:rsidP="0036044B">
                  <w:pPr>
                    <w:rPr>
                      <w:bCs/>
                    </w:rPr>
                  </w:pPr>
                  <w:r w:rsidRPr="0036044B">
                    <w:rPr>
                      <w:bCs/>
                    </w:rPr>
                    <w:t>Finanțare mld euro</w:t>
                  </w:r>
                </w:p>
              </w:tc>
              <w:tc>
                <w:tcPr>
                  <w:tcW w:w="870" w:type="dxa"/>
                  <w:shd w:val="clear" w:color="auto" w:fill="auto"/>
                  <w:noWrap/>
                  <w:hideMark/>
                </w:tcPr>
                <w:p w14:paraId="15E937CD" w14:textId="77777777" w:rsidR="009545F6" w:rsidRPr="0036044B" w:rsidRDefault="009545F6" w:rsidP="0036044B">
                  <w:pPr>
                    <w:jc w:val="right"/>
                    <w:rPr>
                      <w:bCs/>
                    </w:rPr>
                  </w:pPr>
                  <w:r w:rsidRPr="0036044B">
                    <w:rPr>
                      <w:bCs/>
                    </w:rPr>
                    <w:t>0.00</w:t>
                  </w:r>
                </w:p>
              </w:tc>
              <w:tc>
                <w:tcPr>
                  <w:tcW w:w="871" w:type="dxa"/>
                  <w:shd w:val="clear" w:color="auto" w:fill="auto"/>
                  <w:noWrap/>
                  <w:hideMark/>
                </w:tcPr>
                <w:p w14:paraId="2F0E6E4B" w14:textId="77777777" w:rsidR="009545F6" w:rsidRPr="0036044B" w:rsidRDefault="009545F6" w:rsidP="0036044B">
                  <w:pPr>
                    <w:jc w:val="right"/>
                    <w:rPr>
                      <w:bCs/>
                    </w:rPr>
                  </w:pPr>
                  <w:r w:rsidRPr="0036044B">
                    <w:rPr>
                      <w:bCs/>
                    </w:rPr>
                    <w:t>0.03</w:t>
                  </w:r>
                </w:p>
              </w:tc>
              <w:tc>
                <w:tcPr>
                  <w:tcW w:w="871" w:type="dxa"/>
                  <w:shd w:val="clear" w:color="auto" w:fill="auto"/>
                  <w:noWrap/>
                  <w:hideMark/>
                </w:tcPr>
                <w:p w14:paraId="57A9FD46" w14:textId="77777777" w:rsidR="009545F6" w:rsidRPr="0036044B" w:rsidRDefault="009545F6" w:rsidP="0036044B">
                  <w:pPr>
                    <w:jc w:val="right"/>
                    <w:rPr>
                      <w:bCs/>
                    </w:rPr>
                  </w:pPr>
                  <w:r w:rsidRPr="0036044B">
                    <w:rPr>
                      <w:bCs/>
                    </w:rPr>
                    <w:t>0.03</w:t>
                  </w:r>
                </w:p>
              </w:tc>
              <w:tc>
                <w:tcPr>
                  <w:tcW w:w="871" w:type="dxa"/>
                  <w:shd w:val="clear" w:color="auto" w:fill="auto"/>
                  <w:noWrap/>
                  <w:hideMark/>
                </w:tcPr>
                <w:p w14:paraId="2F6651F4" w14:textId="77777777" w:rsidR="009545F6" w:rsidRPr="0036044B" w:rsidRDefault="009545F6" w:rsidP="0036044B">
                  <w:pPr>
                    <w:jc w:val="right"/>
                    <w:rPr>
                      <w:bCs/>
                    </w:rPr>
                  </w:pPr>
                  <w:r w:rsidRPr="0036044B">
                    <w:rPr>
                      <w:bCs/>
                    </w:rPr>
                    <w:t>0.03</w:t>
                  </w:r>
                </w:p>
              </w:tc>
              <w:tc>
                <w:tcPr>
                  <w:tcW w:w="871" w:type="dxa"/>
                  <w:shd w:val="clear" w:color="auto" w:fill="auto"/>
                  <w:noWrap/>
                  <w:hideMark/>
                </w:tcPr>
                <w:p w14:paraId="0362CA39" w14:textId="77777777" w:rsidR="009545F6" w:rsidRPr="0036044B" w:rsidRDefault="009545F6" w:rsidP="0036044B">
                  <w:pPr>
                    <w:jc w:val="right"/>
                    <w:rPr>
                      <w:bCs/>
                    </w:rPr>
                  </w:pPr>
                  <w:r w:rsidRPr="0036044B">
                    <w:rPr>
                      <w:bCs/>
                    </w:rPr>
                    <w:t>0.03</w:t>
                  </w:r>
                </w:p>
              </w:tc>
              <w:tc>
                <w:tcPr>
                  <w:tcW w:w="1657" w:type="dxa"/>
                  <w:gridSpan w:val="2"/>
                  <w:shd w:val="clear" w:color="auto" w:fill="auto"/>
                  <w:noWrap/>
                  <w:hideMark/>
                </w:tcPr>
                <w:p w14:paraId="7FF4923E" w14:textId="77777777" w:rsidR="009545F6" w:rsidRPr="0036044B" w:rsidRDefault="009545F6" w:rsidP="0036044B">
                  <w:pPr>
                    <w:jc w:val="right"/>
                    <w:rPr>
                      <w:bCs/>
                    </w:rPr>
                  </w:pPr>
                  <w:r w:rsidRPr="0036044B">
                    <w:rPr>
                      <w:bCs/>
                    </w:rPr>
                    <w:t>0.03</w:t>
                  </w:r>
                </w:p>
              </w:tc>
            </w:tr>
            <w:tr w:rsidR="002B2AD7" w:rsidRPr="0036044B" w14:paraId="45A1CFEB" w14:textId="77777777" w:rsidTr="009545F6">
              <w:trPr>
                <w:gridAfter w:val="2"/>
                <w:wAfter w:w="871" w:type="dxa"/>
                <w:trHeight w:val="330"/>
              </w:trPr>
              <w:tc>
                <w:tcPr>
                  <w:tcW w:w="2246" w:type="dxa"/>
                  <w:vMerge/>
                  <w:tcBorders>
                    <w:left w:val="nil"/>
                    <w:bottom w:val="nil"/>
                    <w:right w:val="nil"/>
                  </w:tcBorders>
                  <w:shd w:val="clear" w:color="auto" w:fill="5B9BD5"/>
                  <w:hideMark/>
                </w:tcPr>
                <w:p w14:paraId="3611151D" w14:textId="77777777" w:rsidR="009545F6" w:rsidRPr="0036044B" w:rsidRDefault="009545F6" w:rsidP="0036044B">
                  <w:pPr>
                    <w:rPr>
                      <w:b/>
                      <w:bCs/>
                    </w:rPr>
                  </w:pPr>
                </w:p>
              </w:tc>
              <w:tc>
                <w:tcPr>
                  <w:tcW w:w="1842" w:type="dxa"/>
                  <w:shd w:val="clear" w:color="auto" w:fill="D8D8D8"/>
                  <w:noWrap/>
                  <w:hideMark/>
                </w:tcPr>
                <w:p w14:paraId="4863CECE" w14:textId="77777777" w:rsidR="009545F6" w:rsidRPr="0036044B" w:rsidRDefault="009545F6" w:rsidP="0036044B">
                  <w:pPr>
                    <w:rPr>
                      <w:bCs/>
                    </w:rPr>
                  </w:pPr>
                  <w:r w:rsidRPr="0036044B">
                    <w:rPr>
                      <w:bCs/>
                    </w:rPr>
                    <w:t>Impact cumulat %</w:t>
                  </w:r>
                </w:p>
              </w:tc>
              <w:tc>
                <w:tcPr>
                  <w:tcW w:w="870" w:type="dxa"/>
                  <w:shd w:val="clear" w:color="auto" w:fill="D8D8D8"/>
                  <w:noWrap/>
                  <w:hideMark/>
                </w:tcPr>
                <w:p w14:paraId="38018370" w14:textId="77777777" w:rsidR="009545F6" w:rsidRPr="0036044B" w:rsidRDefault="009545F6" w:rsidP="0036044B">
                  <w:pPr>
                    <w:jc w:val="right"/>
                    <w:rPr>
                      <w:bCs/>
                    </w:rPr>
                  </w:pPr>
                  <w:r w:rsidRPr="0036044B">
                    <w:rPr>
                      <w:bCs/>
                    </w:rPr>
                    <w:t>0.0%</w:t>
                  </w:r>
                </w:p>
              </w:tc>
              <w:tc>
                <w:tcPr>
                  <w:tcW w:w="871" w:type="dxa"/>
                  <w:shd w:val="clear" w:color="auto" w:fill="D8D8D8"/>
                  <w:noWrap/>
                  <w:hideMark/>
                </w:tcPr>
                <w:p w14:paraId="2D1C27EB" w14:textId="77777777" w:rsidR="009545F6" w:rsidRPr="0036044B" w:rsidRDefault="009545F6" w:rsidP="0036044B">
                  <w:pPr>
                    <w:jc w:val="right"/>
                    <w:rPr>
                      <w:bCs/>
                    </w:rPr>
                  </w:pPr>
                  <w:r w:rsidRPr="0036044B">
                    <w:rPr>
                      <w:bCs/>
                    </w:rPr>
                    <w:t>0.0%</w:t>
                  </w:r>
                </w:p>
              </w:tc>
              <w:tc>
                <w:tcPr>
                  <w:tcW w:w="871" w:type="dxa"/>
                  <w:shd w:val="clear" w:color="auto" w:fill="D8D8D8"/>
                  <w:noWrap/>
                  <w:hideMark/>
                </w:tcPr>
                <w:p w14:paraId="2C34401C" w14:textId="77777777" w:rsidR="009545F6" w:rsidRPr="0036044B" w:rsidRDefault="009545F6" w:rsidP="0036044B">
                  <w:pPr>
                    <w:jc w:val="right"/>
                    <w:rPr>
                      <w:bCs/>
                    </w:rPr>
                  </w:pPr>
                  <w:r w:rsidRPr="0036044B">
                    <w:rPr>
                      <w:bCs/>
                    </w:rPr>
                    <w:t>0.0%</w:t>
                  </w:r>
                </w:p>
              </w:tc>
              <w:tc>
                <w:tcPr>
                  <w:tcW w:w="871" w:type="dxa"/>
                  <w:shd w:val="clear" w:color="auto" w:fill="D8D8D8"/>
                  <w:noWrap/>
                  <w:hideMark/>
                </w:tcPr>
                <w:p w14:paraId="6B8C2E90" w14:textId="77777777" w:rsidR="009545F6" w:rsidRPr="0036044B" w:rsidRDefault="009545F6" w:rsidP="0036044B">
                  <w:pPr>
                    <w:jc w:val="right"/>
                    <w:rPr>
                      <w:bCs/>
                    </w:rPr>
                  </w:pPr>
                  <w:r w:rsidRPr="0036044B">
                    <w:rPr>
                      <w:bCs/>
                    </w:rPr>
                    <w:t>0.0%</w:t>
                  </w:r>
                </w:p>
              </w:tc>
              <w:tc>
                <w:tcPr>
                  <w:tcW w:w="871" w:type="dxa"/>
                  <w:shd w:val="clear" w:color="auto" w:fill="D8D8D8"/>
                  <w:noWrap/>
                  <w:hideMark/>
                </w:tcPr>
                <w:p w14:paraId="7BE33395" w14:textId="77777777" w:rsidR="009545F6" w:rsidRPr="0036044B" w:rsidRDefault="009545F6" w:rsidP="0036044B">
                  <w:pPr>
                    <w:jc w:val="right"/>
                    <w:rPr>
                      <w:bCs/>
                    </w:rPr>
                  </w:pPr>
                  <w:r w:rsidRPr="0036044B">
                    <w:rPr>
                      <w:bCs/>
                    </w:rPr>
                    <w:t>0.0%</w:t>
                  </w:r>
                </w:p>
              </w:tc>
              <w:tc>
                <w:tcPr>
                  <w:tcW w:w="1657" w:type="dxa"/>
                  <w:gridSpan w:val="2"/>
                  <w:shd w:val="clear" w:color="auto" w:fill="D8D8D8"/>
                  <w:noWrap/>
                  <w:hideMark/>
                </w:tcPr>
                <w:p w14:paraId="563EE346" w14:textId="77777777" w:rsidR="009545F6" w:rsidRPr="0036044B" w:rsidRDefault="009545F6" w:rsidP="0036044B">
                  <w:pPr>
                    <w:jc w:val="right"/>
                    <w:rPr>
                      <w:bCs/>
                    </w:rPr>
                  </w:pPr>
                  <w:r w:rsidRPr="0036044B">
                    <w:rPr>
                      <w:bCs/>
                    </w:rPr>
                    <w:t>0.0%</w:t>
                  </w:r>
                </w:p>
              </w:tc>
            </w:tr>
            <w:tr w:rsidR="002B2AD7" w:rsidRPr="0036044B" w14:paraId="3E4856FB" w14:textId="77777777" w:rsidTr="009545F6">
              <w:trPr>
                <w:gridAfter w:val="2"/>
                <w:wAfter w:w="871" w:type="dxa"/>
                <w:trHeight w:val="315"/>
              </w:trPr>
              <w:tc>
                <w:tcPr>
                  <w:tcW w:w="2246" w:type="dxa"/>
                  <w:tcBorders>
                    <w:left w:val="nil"/>
                    <w:bottom w:val="nil"/>
                    <w:right w:val="nil"/>
                  </w:tcBorders>
                  <w:shd w:val="clear" w:color="auto" w:fill="5B9BD5"/>
                  <w:hideMark/>
                </w:tcPr>
                <w:p w14:paraId="6BB23BE4" w14:textId="77777777" w:rsidR="009545F6" w:rsidRPr="0036044B" w:rsidRDefault="009545F6" w:rsidP="0036044B">
                  <w:pPr>
                    <w:rPr>
                      <w:b/>
                      <w:bCs/>
                    </w:rPr>
                  </w:pPr>
                </w:p>
              </w:tc>
              <w:tc>
                <w:tcPr>
                  <w:tcW w:w="1842" w:type="dxa"/>
                  <w:shd w:val="clear" w:color="auto" w:fill="auto"/>
                  <w:noWrap/>
                  <w:hideMark/>
                </w:tcPr>
                <w:p w14:paraId="2FB08BA5" w14:textId="77777777" w:rsidR="009545F6" w:rsidRPr="0036044B" w:rsidRDefault="009545F6" w:rsidP="0036044B">
                  <w:pPr>
                    <w:rPr>
                      <w:rFonts w:eastAsia="Calibri"/>
                    </w:rPr>
                  </w:pPr>
                </w:p>
              </w:tc>
              <w:tc>
                <w:tcPr>
                  <w:tcW w:w="870" w:type="dxa"/>
                  <w:shd w:val="clear" w:color="auto" w:fill="auto"/>
                  <w:noWrap/>
                  <w:hideMark/>
                </w:tcPr>
                <w:p w14:paraId="22EA0F7C" w14:textId="77777777" w:rsidR="009545F6" w:rsidRPr="0036044B" w:rsidRDefault="009545F6" w:rsidP="0036044B">
                  <w:pPr>
                    <w:rPr>
                      <w:rFonts w:eastAsia="Calibri"/>
                    </w:rPr>
                  </w:pPr>
                </w:p>
              </w:tc>
              <w:tc>
                <w:tcPr>
                  <w:tcW w:w="871" w:type="dxa"/>
                  <w:shd w:val="clear" w:color="auto" w:fill="auto"/>
                  <w:noWrap/>
                  <w:hideMark/>
                </w:tcPr>
                <w:p w14:paraId="0860DA06" w14:textId="77777777" w:rsidR="009545F6" w:rsidRPr="0036044B" w:rsidRDefault="009545F6" w:rsidP="0036044B">
                  <w:pPr>
                    <w:rPr>
                      <w:rFonts w:eastAsia="Calibri"/>
                    </w:rPr>
                  </w:pPr>
                </w:p>
              </w:tc>
              <w:tc>
                <w:tcPr>
                  <w:tcW w:w="871" w:type="dxa"/>
                  <w:shd w:val="clear" w:color="auto" w:fill="auto"/>
                  <w:noWrap/>
                  <w:hideMark/>
                </w:tcPr>
                <w:p w14:paraId="0698C0B8" w14:textId="77777777" w:rsidR="009545F6" w:rsidRPr="0036044B" w:rsidRDefault="009545F6" w:rsidP="0036044B">
                  <w:pPr>
                    <w:rPr>
                      <w:rFonts w:eastAsia="Calibri"/>
                    </w:rPr>
                  </w:pPr>
                </w:p>
              </w:tc>
              <w:tc>
                <w:tcPr>
                  <w:tcW w:w="871" w:type="dxa"/>
                  <w:shd w:val="clear" w:color="auto" w:fill="auto"/>
                  <w:noWrap/>
                  <w:hideMark/>
                </w:tcPr>
                <w:p w14:paraId="2D261096" w14:textId="77777777" w:rsidR="009545F6" w:rsidRPr="0036044B" w:rsidRDefault="009545F6" w:rsidP="0036044B">
                  <w:pPr>
                    <w:rPr>
                      <w:rFonts w:eastAsia="Calibri"/>
                    </w:rPr>
                  </w:pPr>
                </w:p>
              </w:tc>
              <w:tc>
                <w:tcPr>
                  <w:tcW w:w="871" w:type="dxa"/>
                  <w:shd w:val="clear" w:color="auto" w:fill="auto"/>
                  <w:noWrap/>
                  <w:hideMark/>
                </w:tcPr>
                <w:p w14:paraId="285717BF" w14:textId="77777777" w:rsidR="009545F6" w:rsidRPr="0036044B" w:rsidRDefault="009545F6" w:rsidP="0036044B">
                  <w:pPr>
                    <w:rPr>
                      <w:rFonts w:eastAsia="Calibri"/>
                    </w:rPr>
                  </w:pPr>
                </w:p>
              </w:tc>
              <w:tc>
                <w:tcPr>
                  <w:tcW w:w="1657" w:type="dxa"/>
                  <w:gridSpan w:val="2"/>
                  <w:shd w:val="clear" w:color="auto" w:fill="auto"/>
                  <w:noWrap/>
                  <w:hideMark/>
                </w:tcPr>
                <w:p w14:paraId="3036B847" w14:textId="77777777" w:rsidR="009545F6" w:rsidRPr="0036044B" w:rsidRDefault="009545F6" w:rsidP="0036044B">
                  <w:pPr>
                    <w:rPr>
                      <w:rFonts w:eastAsia="Calibri"/>
                    </w:rPr>
                  </w:pPr>
                </w:p>
              </w:tc>
            </w:tr>
            <w:tr w:rsidR="002B2AD7" w:rsidRPr="0036044B" w14:paraId="5507CBE0" w14:textId="77777777" w:rsidTr="009545F6">
              <w:trPr>
                <w:gridAfter w:val="2"/>
                <w:wAfter w:w="871" w:type="dxa"/>
                <w:trHeight w:val="330"/>
              </w:trPr>
              <w:tc>
                <w:tcPr>
                  <w:tcW w:w="2246" w:type="dxa"/>
                  <w:tcBorders>
                    <w:left w:val="nil"/>
                    <w:bottom w:val="nil"/>
                    <w:right w:val="nil"/>
                  </w:tcBorders>
                  <w:shd w:val="clear" w:color="auto" w:fill="5B9BD5"/>
                  <w:hideMark/>
                </w:tcPr>
                <w:p w14:paraId="783DB731" w14:textId="77777777" w:rsidR="009545F6" w:rsidRPr="0036044B" w:rsidRDefault="009545F6" w:rsidP="0036044B">
                  <w:pPr>
                    <w:rPr>
                      <w:b/>
                      <w:bCs/>
                    </w:rPr>
                  </w:pPr>
                  <w:r w:rsidRPr="0036044B">
                    <w:rPr>
                      <w:b/>
                      <w:bCs/>
                    </w:rPr>
                    <w:t>C15 - Educație</w:t>
                  </w:r>
                </w:p>
              </w:tc>
              <w:tc>
                <w:tcPr>
                  <w:tcW w:w="1842" w:type="dxa"/>
                  <w:shd w:val="clear" w:color="auto" w:fill="D8D8D8"/>
                  <w:noWrap/>
                  <w:hideMark/>
                </w:tcPr>
                <w:p w14:paraId="72A9D519" w14:textId="77777777" w:rsidR="009545F6" w:rsidRPr="0036044B" w:rsidRDefault="009545F6" w:rsidP="0036044B">
                  <w:pPr>
                    <w:rPr>
                      <w:bCs/>
                    </w:rPr>
                  </w:pPr>
                  <w:r w:rsidRPr="0036044B">
                    <w:rPr>
                      <w:bCs/>
                    </w:rPr>
                    <w:t>Finanțare mld euro</w:t>
                  </w:r>
                </w:p>
              </w:tc>
              <w:tc>
                <w:tcPr>
                  <w:tcW w:w="870" w:type="dxa"/>
                  <w:shd w:val="clear" w:color="auto" w:fill="D8D8D8"/>
                  <w:noWrap/>
                  <w:hideMark/>
                </w:tcPr>
                <w:p w14:paraId="78611B7C" w14:textId="77777777" w:rsidR="009545F6" w:rsidRPr="0036044B" w:rsidRDefault="009545F6" w:rsidP="0036044B">
                  <w:pPr>
                    <w:jc w:val="right"/>
                    <w:rPr>
                      <w:bCs/>
                    </w:rPr>
                  </w:pPr>
                  <w:r w:rsidRPr="0036044B">
                    <w:rPr>
                      <w:bCs/>
                    </w:rPr>
                    <w:t>0.00</w:t>
                  </w:r>
                </w:p>
              </w:tc>
              <w:tc>
                <w:tcPr>
                  <w:tcW w:w="871" w:type="dxa"/>
                  <w:shd w:val="clear" w:color="auto" w:fill="D8D8D8"/>
                  <w:noWrap/>
                  <w:hideMark/>
                </w:tcPr>
                <w:p w14:paraId="40686A8B" w14:textId="77777777" w:rsidR="009545F6" w:rsidRPr="0036044B" w:rsidRDefault="009545F6" w:rsidP="0036044B">
                  <w:pPr>
                    <w:jc w:val="right"/>
                    <w:rPr>
                      <w:bCs/>
                    </w:rPr>
                  </w:pPr>
                  <w:r w:rsidRPr="0036044B">
                    <w:rPr>
                      <w:bCs/>
                    </w:rPr>
                    <w:t>0.72</w:t>
                  </w:r>
                </w:p>
              </w:tc>
              <w:tc>
                <w:tcPr>
                  <w:tcW w:w="871" w:type="dxa"/>
                  <w:shd w:val="clear" w:color="auto" w:fill="D8D8D8"/>
                  <w:noWrap/>
                  <w:hideMark/>
                </w:tcPr>
                <w:p w14:paraId="00CC3223" w14:textId="77777777" w:rsidR="009545F6" w:rsidRPr="0036044B" w:rsidRDefault="009545F6" w:rsidP="0036044B">
                  <w:pPr>
                    <w:jc w:val="right"/>
                    <w:rPr>
                      <w:bCs/>
                    </w:rPr>
                  </w:pPr>
                  <w:r w:rsidRPr="0036044B">
                    <w:rPr>
                      <w:bCs/>
                    </w:rPr>
                    <w:t>0.72</w:t>
                  </w:r>
                </w:p>
              </w:tc>
              <w:tc>
                <w:tcPr>
                  <w:tcW w:w="871" w:type="dxa"/>
                  <w:shd w:val="clear" w:color="auto" w:fill="D8D8D8"/>
                  <w:noWrap/>
                  <w:hideMark/>
                </w:tcPr>
                <w:p w14:paraId="34AC21D0" w14:textId="77777777" w:rsidR="009545F6" w:rsidRPr="0036044B" w:rsidRDefault="009545F6" w:rsidP="0036044B">
                  <w:pPr>
                    <w:jc w:val="right"/>
                    <w:rPr>
                      <w:bCs/>
                    </w:rPr>
                  </w:pPr>
                  <w:r w:rsidRPr="0036044B">
                    <w:rPr>
                      <w:bCs/>
                    </w:rPr>
                    <w:t>0.72</w:t>
                  </w:r>
                </w:p>
              </w:tc>
              <w:tc>
                <w:tcPr>
                  <w:tcW w:w="871" w:type="dxa"/>
                  <w:shd w:val="clear" w:color="auto" w:fill="D8D8D8"/>
                  <w:noWrap/>
                  <w:hideMark/>
                </w:tcPr>
                <w:p w14:paraId="4A99EBC6" w14:textId="77777777" w:rsidR="009545F6" w:rsidRPr="0036044B" w:rsidRDefault="009545F6" w:rsidP="0036044B">
                  <w:pPr>
                    <w:jc w:val="right"/>
                    <w:rPr>
                      <w:bCs/>
                    </w:rPr>
                  </w:pPr>
                  <w:r w:rsidRPr="0036044B">
                    <w:rPr>
                      <w:bCs/>
                    </w:rPr>
                    <w:t>0.72</w:t>
                  </w:r>
                </w:p>
              </w:tc>
              <w:tc>
                <w:tcPr>
                  <w:tcW w:w="1657" w:type="dxa"/>
                  <w:gridSpan w:val="2"/>
                  <w:shd w:val="clear" w:color="auto" w:fill="D8D8D8"/>
                  <w:noWrap/>
                  <w:hideMark/>
                </w:tcPr>
                <w:p w14:paraId="0DF6EDA7" w14:textId="77777777" w:rsidR="009545F6" w:rsidRPr="0036044B" w:rsidRDefault="009545F6" w:rsidP="0036044B">
                  <w:pPr>
                    <w:jc w:val="right"/>
                    <w:rPr>
                      <w:bCs/>
                    </w:rPr>
                  </w:pPr>
                  <w:r w:rsidRPr="0036044B">
                    <w:rPr>
                      <w:bCs/>
                    </w:rPr>
                    <w:t>0.72</w:t>
                  </w:r>
                </w:p>
              </w:tc>
            </w:tr>
          </w:tbl>
          <w:p w14:paraId="60A62FA9" w14:textId="77777777" w:rsidR="009545F6" w:rsidRPr="0036044B" w:rsidRDefault="009545F6" w:rsidP="0036044B">
            <w:pPr>
              <w:pStyle w:val="NormalWeb"/>
              <w:shd w:val="clear" w:color="auto" w:fill="FFFFFF"/>
              <w:spacing w:before="0" w:beforeAutospacing="0" w:after="0" w:afterAutospacing="0"/>
              <w:jc w:val="both"/>
            </w:pPr>
            <w:r w:rsidRPr="0036044B">
              <w:t xml:space="preserve">Cel mai mare impact al reformelor și investițiilor PNRR asupra PIB este preconizat pentru anii 2025 și 2026. Astfel, reformele și investițiile aferente priorității Transport Sustenabil vor contribui în anii 2025 și 2026 cu aprox. 1,2 și respectiv 1,3%, urmate de România Educată cu 0,6 și 0,7%, de prioritatea Suport pentru sectorul privat, cercetare, dezvoltare și inovare aferente cu aprox. 0,4% și de Sistemul de management al apei care va contribui cu aprox. 0,3%. </w:t>
            </w:r>
          </w:p>
          <w:p w14:paraId="5C6841D0" w14:textId="77777777" w:rsidR="009545F6" w:rsidRPr="0036044B" w:rsidRDefault="009545F6" w:rsidP="0036044B">
            <w:pPr>
              <w:spacing w:after="120"/>
              <w:jc w:val="both"/>
              <w:rPr>
                <w:b/>
              </w:rPr>
            </w:pPr>
          </w:p>
          <w:p w14:paraId="164EC38B" w14:textId="4863D9E5" w:rsidR="00F72189" w:rsidRPr="0036044B" w:rsidRDefault="00F72189" w:rsidP="0036044B">
            <w:pPr>
              <w:spacing w:after="120"/>
              <w:jc w:val="both"/>
              <w:rPr>
                <w:b/>
              </w:rPr>
            </w:pPr>
            <w:r w:rsidRPr="0036044B">
              <w:rPr>
                <w:b/>
              </w:rPr>
              <w:t>3.</w:t>
            </w:r>
            <w:r w:rsidR="00FD3526" w:rsidRPr="0036044B">
              <w:rPr>
                <w:b/>
              </w:rPr>
              <w:t>4</w:t>
            </w:r>
            <w:r w:rsidRPr="0036044B">
              <w:rPr>
                <w:b/>
              </w:rPr>
              <w:t xml:space="preserve">.1 Impactul asupra </w:t>
            </w:r>
            <w:r w:rsidR="00FD3526" w:rsidRPr="0036044B">
              <w:rPr>
                <w:b/>
              </w:rPr>
              <w:t xml:space="preserve">economiei și asupra </w:t>
            </w:r>
            <w:r w:rsidRPr="0036044B">
              <w:rPr>
                <w:b/>
              </w:rPr>
              <w:t>principalilor indicatori macroeconomici</w:t>
            </w:r>
          </w:p>
          <w:p w14:paraId="52850EAE" w14:textId="77777777" w:rsidR="00D30B06" w:rsidRPr="0036044B" w:rsidRDefault="00D30B06" w:rsidP="0036044B">
            <w:pPr>
              <w:spacing w:after="120"/>
              <w:jc w:val="both"/>
            </w:pPr>
            <w:r w:rsidRPr="0036044B">
              <w:t>Proiectul de act normativ nu se referă la acest subiect.</w:t>
            </w:r>
          </w:p>
          <w:p w14:paraId="18C98DD5" w14:textId="3E18A52A" w:rsidR="00F72189" w:rsidRPr="0036044B" w:rsidRDefault="00F72189" w:rsidP="0036044B">
            <w:pPr>
              <w:spacing w:after="120"/>
              <w:jc w:val="both"/>
              <w:rPr>
                <w:b/>
              </w:rPr>
            </w:pPr>
            <w:r w:rsidRPr="0036044B">
              <w:rPr>
                <w:b/>
              </w:rPr>
              <w:t>3.</w:t>
            </w:r>
            <w:r w:rsidR="00FD3526" w:rsidRPr="0036044B">
              <w:rPr>
                <w:b/>
              </w:rPr>
              <w:t>4</w:t>
            </w:r>
            <w:r w:rsidRPr="0036044B">
              <w:rPr>
                <w:b/>
              </w:rPr>
              <w:t>.2 Impactul asupra mediului concurențial si domeniul</w:t>
            </w:r>
            <w:r w:rsidR="00FB45DC" w:rsidRPr="0036044B">
              <w:rPr>
                <w:b/>
              </w:rPr>
              <w:t>ui</w:t>
            </w:r>
            <w:r w:rsidRPr="0036044B">
              <w:rPr>
                <w:b/>
              </w:rPr>
              <w:t xml:space="preserve"> ajutoarelor de stat</w:t>
            </w:r>
          </w:p>
          <w:p w14:paraId="39875987" w14:textId="623B8A5D" w:rsidR="009545F6" w:rsidRPr="0036044B" w:rsidRDefault="009545F6" w:rsidP="0036044B">
            <w:pPr>
              <w:pStyle w:val="NormalWeb"/>
              <w:spacing w:before="0" w:beforeAutospacing="0" w:after="0" w:afterAutospacing="0"/>
              <w:jc w:val="both"/>
            </w:pPr>
            <w:r w:rsidRPr="0036044B">
              <w:t xml:space="preserve">Proiectul de act normativ are impact asupra mediului </w:t>
            </w:r>
            <w:proofErr w:type="spellStart"/>
            <w:r w:rsidRPr="0036044B">
              <w:t>concurenţial</w:t>
            </w:r>
            <w:proofErr w:type="spellEnd"/>
            <w:r w:rsidRPr="0036044B">
              <w:t xml:space="preserve"> </w:t>
            </w:r>
            <w:proofErr w:type="spellStart"/>
            <w:r w:rsidRPr="0036044B">
              <w:t>şi</w:t>
            </w:r>
            <w:proofErr w:type="spellEnd"/>
            <w:r w:rsidRPr="0036044B">
              <w:t xml:space="preserve"> domeniului ajutoarelor de stat. </w:t>
            </w:r>
          </w:p>
          <w:p w14:paraId="18826DC8" w14:textId="77777777" w:rsidR="009545F6" w:rsidRPr="0036044B" w:rsidRDefault="009545F6" w:rsidP="0036044B">
            <w:pPr>
              <w:pStyle w:val="NormalWeb"/>
              <w:spacing w:before="0" w:beforeAutospacing="0" w:after="0" w:afterAutospacing="0"/>
              <w:jc w:val="both"/>
            </w:pPr>
            <w:r w:rsidRPr="0036044B">
              <w:t xml:space="preserve">Reformele și investițiile din cadrul PNRR se implementează inclusiv prin intermediul schemelor de ajutor de stat/de </w:t>
            </w:r>
            <w:proofErr w:type="spellStart"/>
            <w:r w:rsidRPr="0036044B">
              <w:t>minimis</w:t>
            </w:r>
            <w:proofErr w:type="spellEnd"/>
            <w:r w:rsidRPr="0036044B">
              <w:t>. Conform prevederilor din Planul național de redresare și reziliență, a fost stipulată necesitatea asigurării conformității cu regulile naționale și europene aplicabile domeniului ajutoarelor de stat.</w:t>
            </w:r>
          </w:p>
          <w:p w14:paraId="01A82EB9" w14:textId="5287A9BB" w:rsidR="00031D8D" w:rsidRPr="0036044B" w:rsidRDefault="00031D8D" w:rsidP="0036044B">
            <w:pPr>
              <w:spacing w:after="120"/>
              <w:jc w:val="both"/>
              <w:rPr>
                <w:b/>
              </w:rPr>
            </w:pPr>
          </w:p>
          <w:p w14:paraId="08CC60DE" w14:textId="77777777" w:rsidR="009545F6" w:rsidRPr="0036044B" w:rsidRDefault="00F72189" w:rsidP="0036044B">
            <w:pPr>
              <w:spacing w:after="120"/>
              <w:jc w:val="both"/>
              <w:rPr>
                <w:b/>
              </w:rPr>
            </w:pPr>
            <w:r w:rsidRPr="0036044B">
              <w:rPr>
                <w:b/>
              </w:rPr>
              <w:t>3.</w:t>
            </w:r>
            <w:r w:rsidR="00FD3526" w:rsidRPr="0036044B">
              <w:rPr>
                <w:b/>
              </w:rPr>
              <w:t>5</w:t>
            </w:r>
            <w:r w:rsidRPr="0036044B">
              <w:rPr>
                <w:b/>
              </w:rPr>
              <w:t>. Impactul asupra mediului de afaceri</w:t>
            </w:r>
          </w:p>
          <w:p w14:paraId="2585C0D3" w14:textId="23ACE8E9" w:rsidR="009545F6" w:rsidRPr="0036044B" w:rsidRDefault="009545F6" w:rsidP="0036044B">
            <w:pPr>
              <w:spacing w:after="120"/>
              <w:jc w:val="both"/>
              <w:rPr>
                <w:b/>
              </w:rPr>
            </w:pPr>
            <w:r w:rsidRPr="0036044B">
              <w:t>Proiectul de act normativ are impact asupra mediului de afaceri.</w:t>
            </w:r>
          </w:p>
          <w:p w14:paraId="2E978C85" w14:textId="77777777" w:rsidR="009545F6" w:rsidRPr="0036044B" w:rsidRDefault="009545F6" w:rsidP="0036044B">
            <w:pPr>
              <w:spacing w:after="120"/>
              <w:jc w:val="both"/>
            </w:pPr>
            <w:r w:rsidRPr="0036044B">
              <w:t>Reformele și investițiile din cadrul PNRR stimulează creșterea competitivității economice și a rezilienței mediului de afaceri, crearea de noi locuri de muncă precum și facilitarea accesului la servicii publice digitalizate pentru mediul de afaceri</w:t>
            </w:r>
          </w:p>
          <w:p w14:paraId="6BA44179" w14:textId="07FDCC69" w:rsidR="00FD3526" w:rsidRPr="0036044B" w:rsidRDefault="00FD3526" w:rsidP="0036044B">
            <w:pPr>
              <w:spacing w:after="120"/>
              <w:jc w:val="both"/>
              <w:rPr>
                <w:b/>
              </w:rPr>
            </w:pPr>
            <w:r w:rsidRPr="0036044B">
              <w:rPr>
                <w:b/>
              </w:rPr>
              <w:t>3.6 Impactul asupra mediului înconjurător</w:t>
            </w:r>
          </w:p>
          <w:p w14:paraId="41ACF09B" w14:textId="61DEA4D7" w:rsidR="00031D8D" w:rsidRPr="0036044B" w:rsidRDefault="00031D8D" w:rsidP="0036044B">
            <w:pPr>
              <w:spacing w:after="120"/>
              <w:jc w:val="both"/>
              <w:rPr>
                <w:b/>
                <w:bCs/>
              </w:rPr>
            </w:pPr>
            <w:r w:rsidRPr="0036044B">
              <w:t xml:space="preserve">    </w:t>
            </w:r>
            <w:r w:rsidR="00D30B06" w:rsidRPr="0036044B">
              <w:t>Proiectul de act normativ nu se referă la acest subiect.</w:t>
            </w:r>
          </w:p>
          <w:p w14:paraId="55CFDA7E" w14:textId="7F8C3A7E" w:rsidR="00FD3526" w:rsidRPr="0036044B" w:rsidRDefault="00FD3526" w:rsidP="0036044B">
            <w:pPr>
              <w:spacing w:after="120"/>
              <w:jc w:val="both"/>
              <w:rPr>
                <w:b/>
                <w:bCs/>
              </w:rPr>
            </w:pPr>
            <w:r w:rsidRPr="0036044B">
              <w:rPr>
                <w:b/>
                <w:bCs/>
              </w:rPr>
              <w:t>3.7. Evaluarea costurilor și beneficiilor din perspectiva inovării și digitalizării</w:t>
            </w:r>
          </w:p>
          <w:p w14:paraId="4590BA78" w14:textId="792CE08B" w:rsidR="00031D8D" w:rsidRPr="0036044B" w:rsidRDefault="00031D8D" w:rsidP="0036044B">
            <w:pPr>
              <w:spacing w:after="120"/>
              <w:jc w:val="both"/>
              <w:rPr>
                <w:b/>
                <w:bCs/>
              </w:rPr>
            </w:pPr>
            <w:r w:rsidRPr="0036044B">
              <w:t xml:space="preserve">    </w:t>
            </w:r>
            <w:r w:rsidR="00D30B06" w:rsidRPr="0036044B">
              <w:t>Proiectul de act normativ nu se referă la acest subiect.</w:t>
            </w:r>
          </w:p>
          <w:p w14:paraId="3CFEFC6B" w14:textId="6B7012DE" w:rsidR="00FD3526" w:rsidRPr="0036044B" w:rsidRDefault="00FD3526" w:rsidP="0036044B">
            <w:pPr>
              <w:spacing w:after="120"/>
              <w:jc w:val="both"/>
              <w:rPr>
                <w:b/>
                <w:bCs/>
              </w:rPr>
            </w:pPr>
            <w:r w:rsidRPr="0036044B">
              <w:rPr>
                <w:b/>
                <w:bCs/>
              </w:rPr>
              <w:t>3.8 Evaluarea costurilor și beneficiilor din perspectiva dezvoltării durabile</w:t>
            </w:r>
          </w:p>
          <w:p w14:paraId="703E42F4" w14:textId="0DAEE435" w:rsidR="0046279C" w:rsidRPr="0036044B" w:rsidRDefault="00D30B06" w:rsidP="0036044B">
            <w:pPr>
              <w:spacing w:after="120"/>
              <w:jc w:val="both"/>
            </w:pPr>
            <w:r w:rsidRPr="0036044B">
              <w:t xml:space="preserve"> Proiectul de act normativ nu se referă la acest subiect.</w:t>
            </w:r>
          </w:p>
          <w:p w14:paraId="646400EF" w14:textId="77777777" w:rsidR="00FD3526" w:rsidRPr="0036044B" w:rsidRDefault="0046279C" w:rsidP="0036044B">
            <w:pPr>
              <w:spacing w:after="120"/>
              <w:jc w:val="both"/>
              <w:rPr>
                <w:b/>
                <w:bCs/>
              </w:rPr>
            </w:pPr>
            <w:r w:rsidRPr="0036044B">
              <w:t xml:space="preserve">    </w:t>
            </w:r>
            <w:r w:rsidR="00FD3526" w:rsidRPr="0036044B">
              <w:rPr>
                <w:b/>
                <w:bCs/>
              </w:rPr>
              <w:t>3.9. Alte informații</w:t>
            </w:r>
          </w:p>
          <w:p w14:paraId="61EFBAFD" w14:textId="77777777" w:rsidR="009545F6" w:rsidRPr="0036044B" w:rsidRDefault="009545F6" w:rsidP="0036044B">
            <w:pPr>
              <w:jc w:val="both"/>
            </w:pPr>
            <w:r w:rsidRPr="0036044B">
              <w:t xml:space="preserve">În cadrul planului se are în vedere complementaritatea cu bugetul de stat, surse private sau alte fonduri UE pentru îndeplinirea jaloanelor și țintelor pentru care nu este bugetată întreaga sumă din PNRR. </w:t>
            </w:r>
          </w:p>
          <w:p w14:paraId="44E5541A" w14:textId="77777777" w:rsidR="009545F6" w:rsidRPr="0036044B" w:rsidRDefault="009545F6" w:rsidP="0036044B">
            <w:pPr>
              <w:jc w:val="both"/>
            </w:pPr>
          </w:p>
          <w:p w14:paraId="041FB550" w14:textId="3E5703E4" w:rsidR="009545F6" w:rsidRPr="0036044B" w:rsidRDefault="009545F6" w:rsidP="0036044B">
            <w:pPr>
              <w:spacing w:after="120"/>
              <w:jc w:val="both"/>
              <w:rPr>
                <w:b/>
                <w:bCs/>
              </w:rPr>
            </w:pPr>
            <w:r w:rsidRPr="0036044B">
              <w:lastRenderedPageBreak/>
              <w:t xml:space="preserve">În conformitate cu art. 11 din Regulamentul UE nr. 241/2021 privind instituirea Mecanismului de Redresare si </w:t>
            </w:r>
            <w:proofErr w:type="spellStart"/>
            <w:r w:rsidRPr="0036044B">
              <w:t>rezilienta</w:t>
            </w:r>
            <w:proofErr w:type="spellEnd"/>
            <w:r w:rsidRPr="0036044B">
              <w:t>, contribuția financiară maximă se actualizează până la 30 iunie 2022 pentru fiecare stat membru, prin înlocuirea datelor din previziunile Comisiei din toamna anului 2020 cu rezultatele efective în ceea ce privește variația PIB-ului real în 2020 și variația agregată a PIB-ului real în perioada 2020-2021.</w:t>
            </w:r>
          </w:p>
        </w:tc>
      </w:tr>
    </w:tbl>
    <w:p w14:paraId="40C7093F" w14:textId="5C8B0A07" w:rsidR="0025682E" w:rsidRPr="0036044B" w:rsidRDefault="0025682E" w:rsidP="0036044B">
      <w:pPr>
        <w:spacing w:after="120"/>
        <w:ind w:left="180"/>
        <w:jc w:val="both"/>
        <w:rPr>
          <w:b/>
        </w:rPr>
      </w:pPr>
    </w:p>
    <w:p w14:paraId="20A2BC5C" w14:textId="77777777" w:rsidR="005A13C5" w:rsidRPr="0036044B" w:rsidRDefault="00670C79" w:rsidP="0036044B">
      <w:pPr>
        <w:spacing w:after="120"/>
        <w:ind w:firstLine="720"/>
        <w:jc w:val="both"/>
        <w:rPr>
          <w:b/>
        </w:rPr>
      </w:pPr>
      <w:proofErr w:type="spellStart"/>
      <w:r w:rsidRPr="0036044B">
        <w:rPr>
          <w:b/>
        </w:rPr>
        <w:t>Secţiunea</w:t>
      </w:r>
      <w:proofErr w:type="spellEnd"/>
      <w:r w:rsidRPr="0036044B">
        <w:rPr>
          <w:b/>
        </w:rPr>
        <w:t xml:space="preserve"> a 4-a </w:t>
      </w:r>
    </w:p>
    <w:p w14:paraId="34AED0C5" w14:textId="5ABB9584" w:rsidR="00670C79" w:rsidRPr="0036044B" w:rsidRDefault="00670C79" w:rsidP="0036044B">
      <w:pPr>
        <w:spacing w:after="120"/>
        <w:ind w:firstLine="720"/>
        <w:jc w:val="both"/>
        <w:rPr>
          <w:b/>
        </w:rPr>
      </w:pPr>
      <w:r w:rsidRPr="0036044B">
        <w:rPr>
          <w:b/>
        </w:rPr>
        <w:t xml:space="preserve">Impactul financiar asupra bugetului </w:t>
      </w:r>
      <w:r w:rsidR="0064777F" w:rsidRPr="0036044B">
        <w:rPr>
          <w:b/>
        </w:rPr>
        <w:t>general</w:t>
      </w:r>
      <w:r w:rsidRPr="0036044B">
        <w:rPr>
          <w:b/>
        </w:rPr>
        <w:t xml:space="preserve"> consolidat atât pe termen scurt, pentru</w:t>
      </w:r>
      <w:r w:rsidR="00DB71DB" w:rsidRPr="0036044B">
        <w:rPr>
          <w:b/>
        </w:rPr>
        <w:t xml:space="preserve"> </w:t>
      </w:r>
      <w:r w:rsidRPr="0036044B">
        <w:rPr>
          <w:b/>
        </w:rPr>
        <w:t xml:space="preserve">anul curent, cât </w:t>
      </w:r>
      <w:proofErr w:type="spellStart"/>
      <w:r w:rsidRPr="0036044B">
        <w:rPr>
          <w:b/>
        </w:rPr>
        <w:t>şi</w:t>
      </w:r>
      <w:proofErr w:type="spellEnd"/>
      <w:r w:rsidRPr="0036044B">
        <w:rPr>
          <w:b/>
        </w:rPr>
        <w:t xml:space="preserve"> pe termen lung (pe 5 ani)</w:t>
      </w:r>
      <w:r w:rsidR="003034B1" w:rsidRPr="0036044B">
        <w:rPr>
          <w:b/>
        </w:rPr>
        <w:t>, inclusiv informații cu privire la cheltuieli și venituri</w:t>
      </w:r>
      <w:r w:rsidR="0064777F" w:rsidRPr="0036044B">
        <w:rPr>
          <w:b/>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058"/>
        <w:gridCol w:w="1366"/>
        <w:gridCol w:w="1466"/>
        <w:gridCol w:w="1366"/>
        <w:gridCol w:w="1135"/>
        <w:gridCol w:w="1448"/>
      </w:tblGrid>
      <w:tr w:rsidR="002B2AD7" w:rsidRPr="0036044B" w14:paraId="0C843357" w14:textId="77777777" w:rsidTr="0037486B">
        <w:tc>
          <w:tcPr>
            <w:tcW w:w="10533" w:type="dxa"/>
            <w:gridSpan w:val="7"/>
          </w:tcPr>
          <w:p w14:paraId="33061C9B" w14:textId="7824EB12" w:rsidR="009A76F9" w:rsidRPr="0036044B" w:rsidRDefault="009A76F9" w:rsidP="0036044B">
            <w:pPr>
              <w:pStyle w:val="ListParagraph"/>
              <w:numPr>
                <w:ilvl w:val="0"/>
                <w:numId w:val="13"/>
              </w:numPr>
              <w:spacing w:after="120"/>
              <w:jc w:val="right"/>
              <w:rPr>
                <w:rFonts w:ascii="Times New Roman" w:hAnsi="Times New Roman" w:cs="Times New Roman"/>
              </w:rPr>
            </w:pPr>
            <w:r w:rsidRPr="0036044B">
              <w:rPr>
                <w:rFonts w:ascii="Times New Roman" w:hAnsi="Times New Roman" w:cs="Times New Roman"/>
              </w:rPr>
              <w:t>În mii lei (RON)</w:t>
            </w:r>
          </w:p>
        </w:tc>
      </w:tr>
      <w:tr w:rsidR="002B2AD7" w:rsidRPr="0036044B" w14:paraId="57D824B3" w14:textId="77777777" w:rsidTr="005A13C5">
        <w:tc>
          <w:tcPr>
            <w:tcW w:w="2694" w:type="dxa"/>
          </w:tcPr>
          <w:p w14:paraId="318BEE35" w14:textId="77777777" w:rsidR="00670C79" w:rsidRPr="0036044B" w:rsidRDefault="00670C79" w:rsidP="0036044B">
            <w:pPr>
              <w:pStyle w:val="Heading2"/>
              <w:spacing w:after="120"/>
              <w:rPr>
                <w:sz w:val="24"/>
              </w:rPr>
            </w:pPr>
            <w:r w:rsidRPr="0036044B">
              <w:rPr>
                <w:sz w:val="24"/>
              </w:rPr>
              <w:t>Indicatori</w:t>
            </w:r>
          </w:p>
        </w:tc>
        <w:tc>
          <w:tcPr>
            <w:tcW w:w="1058" w:type="dxa"/>
          </w:tcPr>
          <w:p w14:paraId="603E3C85" w14:textId="129C77CD" w:rsidR="00670C79" w:rsidRPr="0036044B" w:rsidRDefault="00670C79" w:rsidP="0036044B">
            <w:pPr>
              <w:spacing w:after="120"/>
              <w:jc w:val="center"/>
            </w:pPr>
            <w:r w:rsidRPr="0036044B">
              <w:t>An</w:t>
            </w:r>
            <w:r w:rsidR="009A76F9" w:rsidRPr="0036044B">
              <w:t>ul</w:t>
            </w:r>
            <w:r w:rsidRPr="0036044B">
              <w:t xml:space="preserve"> curent</w:t>
            </w:r>
          </w:p>
        </w:tc>
        <w:tc>
          <w:tcPr>
            <w:tcW w:w="5333" w:type="dxa"/>
            <w:gridSpan w:val="4"/>
          </w:tcPr>
          <w:p w14:paraId="4EA4AF47" w14:textId="77777777" w:rsidR="00670C79" w:rsidRPr="0036044B" w:rsidRDefault="00670C79" w:rsidP="0036044B">
            <w:pPr>
              <w:spacing w:after="120"/>
              <w:jc w:val="center"/>
            </w:pPr>
            <w:r w:rsidRPr="0036044B">
              <w:t>Următorii 4 ani</w:t>
            </w:r>
          </w:p>
        </w:tc>
        <w:tc>
          <w:tcPr>
            <w:tcW w:w="1448" w:type="dxa"/>
          </w:tcPr>
          <w:p w14:paraId="1EE52564" w14:textId="74A4CFA0" w:rsidR="00670C79" w:rsidRPr="0036044B" w:rsidRDefault="00670C79" w:rsidP="0036044B">
            <w:pPr>
              <w:spacing w:after="120"/>
              <w:jc w:val="center"/>
            </w:pPr>
            <w:r w:rsidRPr="0036044B">
              <w:t xml:space="preserve">Media </w:t>
            </w:r>
            <w:r w:rsidR="009A76F9" w:rsidRPr="0036044B">
              <w:t>pe</w:t>
            </w:r>
            <w:r w:rsidRPr="0036044B">
              <w:t xml:space="preserve"> 5 ani</w:t>
            </w:r>
          </w:p>
        </w:tc>
      </w:tr>
      <w:tr w:rsidR="002B2AD7" w:rsidRPr="0036044B" w14:paraId="31AEB740" w14:textId="77777777" w:rsidTr="005A13C5">
        <w:tc>
          <w:tcPr>
            <w:tcW w:w="2694" w:type="dxa"/>
          </w:tcPr>
          <w:p w14:paraId="1A04C9C9" w14:textId="77777777" w:rsidR="00670C79" w:rsidRPr="0036044B" w:rsidRDefault="00670C79" w:rsidP="0036044B">
            <w:pPr>
              <w:spacing w:after="120"/>
              <w:jc w:val="center"/>
            </w:pPr>
            <w:r w:rsidRPr="0036044B">
              <w:t>1</w:t>
            </w:r>
          </w:p>
        </w:tc>
        <w:tc>
          <w:tcPr>
            <w:tcW w:w="1058" w:type="dxa"/>
            <w:vAlign w:val="center"/>
          </w:tcPr>
          <w:p w14:paraId="44BDE6EE" w14:textId="77777777" w:rsidR="00670C79" w:rsidRPr="0036044B" w:rsidRDefault="00670C79" w:rsidP="0036044B">
            <w:pPr>
              <w:spacing w:after="120"/>
              <w:jc w:val="center"/>
            </w:pPr>
            <w:r w:rsidRPr="0036044B">
              <w:t>2</w:t>
            </w:r>
          </w:p>
        </w:tc>
        <w:tc>
          <w:tcPr>
            <w:tcW w:w="1366" w:type="dxa"/>
            <w:vAlign w:val="center"/>
          </w:tcPr>
          <w:p w14:paraId="44511A2B" w14:textId="77777777" w:rsidR="00670C79" w:rsidRPr="0036044B" w:rsidRDefault="00670C79" w:rsidP="0036044B">
            <w:pPr>
              <w:spacing w:after="120"/>
              <w:jc w:val="center"/>
            </w:pPr>
            <w:r w:rsidRPr="0036044B">
              <w:t>3</w:t>
            </w:r>
          </w:p>
        </w:tc>
        <w:tc>
          <w:tcPr>
            <w:tcW w:w="1466" w:type="dxa"/>
            <w:vAlign w:val="center"/>
          </w:tcPr>
          <w:p w14:paraId="7665B810" w14:textId="77777777" w:rsidR="00670C79" w:rsidRPr="0036044B" w:rsidRDefault="00670C79" w:rsidP="0036044B">
            <w:pPr>
              <w:spacing w:after="120"/>
              <w:jc w:val="center"/>
            </w:pPr>
            <w:r w:rsidRPr="0036044B">
              <w:t>4</w:t>
            </w:r>
          </w:p>
        </w:tc>
        <w:tc>
          <w:tcPr>
            <w:tcW w:w="1366" w:type="dxa"/>
            <w:vAlign w:val="center"/>
          </w:tcPr>
          <w:p w14:paraId="375332DA" w14:textId="77777777" w:rsidR="00670C79" w:rsidRPr="0036044B" w:rsidRDefault="00670C79" w:rsidP="0036044B">
            <w:pPr>
              <w:spacing w:after="120"/>
              <w:jc w:val="center"/>
            </w:pPr>
            <w:r w:rsidRPr="0036044B">
              <w:t>5</w:t>
            </w:r>
          </w:p>
        </w:tc>
        <w:tc>
          <w:tcPr>
            <w:tcW w:w="1135" w:type="dxa"/>
            <w:vAlign w:val="center"/>
          </w:tcPr>
          <w:p w14:paraId="0DD2A48C" w14:textId="77777777" w:rsidR="00670C79" w:rsidRPr="0036044B" w:rsidRDefault="00670C79" w:rsidP="0036044B">
            <w:pPr>
              <w:spacing w:after="120"/>
              <w:jc w:val="center"/>
            </w:pPr>
            <w:r w:rsidRPr="0036044B">
              <w:t>6</w:t>
            </w:r>
          </w:p>
        </w:tc>
        <w:tc>
          <w:tcPr>
            <w:tcW w:w="1448" w:type="dxa"/>
            <w:vAlign w:val="center"/>
          </w:tcPr>
          <w:p w14:paraId="64FF500C" w14:textId="77777777" w:rsidR="00670C79" w:rsidRPr="0036044B" w:rsidRDefault="00670C79" w:rsidP="0036044B">
            <w:pPr>
              <w:spacing w:after="120"/>
              <w:jc w:val="center"/>
            </w:pPr>
            <w:r w:rsidRPr="0036044B">
              <w:t>7</w:t>
            </w:r>
          </w:p>
        </w:tc>
      </w:tr>
      <w:tr w:rsidR="002B2AD7" w:rsidRPr="0036044B" w14:paraId="24F374CE" w14:textId="77777777" w:rsidTr="005A13C5">
        <w:tc>
          <w:tcPr>
            <w:tcW w:w="2694" w:type="dxa"/>
          </w:tcPr>
          <w:p w14:paraId="7075F3AB" w14:textId="3D2A3576" w:rsidR="0025682E" w:rsidRPr="0036044B" w:rsidRDefault="00CD28D5" w:rsidP="0036044B">
            <w:pPr>
              <w:spacing w:after="120"/>
              <w:jc w:val="both"/>
              <w:rPr>
                <w:b/>
                <w:bCs/>
              </w:rPr>
            </w:pPr>
            <w:r w:rsidRPr="0036044B">
              <w:rPr>
                <w:b/>
                <w:bCs/>
              </w:rPr>
              <w:t>4.</w:t>
            </w:r>
            <w:r w:rsidR="00670C79" w:rsidRPr="0036044B">
              <w:rPr>
                <w:b/>
                <w:bCs/>
              </w:rPr>
              <w:t>1.</w:t>
            </w:r>
            <w:r w:rsidRPr="0036044B">
              <w:rPr>
                <w:b/>
                <w:bCs/>
              </w:rPr>
              <w:t xml:space="preserve"> </w:t>
            </w:r>
            <w:r w:rsidR="00670C79" w:rsidRPr="0036044B">
              <w:rPr>
                <w:b/>
                <w:bCs/>
              </w:rPr>
              <w:t>Modificări ale veniturilor bugetare, plus/minus, din care:</w:t>
            </w:r>
          </w:p>
        </w:tc>
        <w:tc>
          <w:tcPr>
            <w:tcW w:w="1058" w:type="dxa"/>
          </w:tcPr>
          <w:p w14:paraId="7811CDB2" w14:textId="77777777" w:rsidR="00670C79" w:rsidRPr="0036044B" w:rsidRDefault="00670C79" w:rsidP="0036044B">
            <w:pPr>
              <w:pStyle w:val="BodyText2"/>
              <w:spacing w:after="120"/>
              <w:rPr>
                <w:sz w:val="24"/>
              </w:rPr>
            </w:pPr>
          </w:p>
        </w:tc>
        <w:tc>
          <w:tcPr>
            <w:tcW w:w="1366" w:type="dxa"/>
          </w:tcPr>
          <w:p w14:paraId="5E0D1921" w14:textId="77777777" w:rsidR="00670C79" w:rsidRPr="0036044B" w:rsidRDefault="00670C79" w:rsidP="0036044B">
            <w:pPr>
              <w:pStyle w:val="BodyText2"/>
              <w:spacing w:after="120"/>
              <w:rPr>
                <w:sz w:val="24"/>
              </w:rPr>
            </w:pPr>
          </w:p>
        </w:tc>
        <w:tc>
          <w:tcPr>
            <w:tcW w:w="1466" w:type="dxa"/>
          </w:tcPr>
          <w:p w14:paraId="3789DD62" w14:textId="77777777" w:rsidR="00670C79" w:rsidRPr="0036044B" w:rsidRDefault="00670C79" w:rsidP="0036044B">
            <w:pPr>
              <w:pStyle w:val="BodyText2"/>
              <w:spacing w:after="120"/>
              <w:rPr>
                <w:sz w:val="24"/>
              </w:rPr>
            </w:pPr>
          </w:p>
        </w:tc>
        <w:tc>
          <w:tcPr>
            <w:tcW w:w="1366" w:type="dxa"/>
          </w:tcPr>
          <w:p w14:paraId="3EFEBCA3" w14:textId="77777777" w:rsidR="00670C79" w:rsidRPr="0036044B" w:rsidRDefault="00670C79" w:rsidP="0036044B">
            <w:pPr>
              <w:pStyle w:val="BodyText2"/>
              <w:spacing w:after="120"/>
              <w:rPr>
                <w:sz w:val="24"/>
              </w:rPr>
            </w:pPr>
          </w:p>
        </w:tc>
        <w:tc>
          <w:tcPr>
            <w:tcW w:w="1135" w:type="dxa"/>
          </w:tcPr>
          <w:p w14:paraId="4D97905B" w14:textId="77777777" w:rsidR="00670C79" w:rsidRPr="0036044B" w:rsidRDefault="00670C79" w:rsidP="0036044B">
            <w:pPr>
              <w:pStyle w:val="BodyText2"/>
              <w:spacing w:after="120"/>
              <w:rPr>
                <w:sz w:val="24"/>
              </w:rPr>
            </w:pPr>
          </w:p>
        </w:tc>
        <w:tc>
          <w:tcPr>
            <w:tcW w:w="1448" w:type="dxa"/>
          </w:tcPr>
          <w:p w14:paraId="4A89D66A" w14:textId="77777777" w:rsidR="00670C79" w:rsidRPr="0036044B" w:rsidRDefault="00670C79" w:rsidP="0036044B">
            <w:pPr>
              <w:pStyle w:val="BodyText2"/>
              <w:spacing w:after="120"/>
              <w:rPr>
                <w:sz w:val="24"/>
              </w:rPr>
            </w:pPr>
          </w:p>
        </w:tc>
      </w:tr>
      <w:tr w:rsidR="002B2AD7" w:rsidRPr="0036044B" w14:paraId="7E845381" w14:textId="77777777" w:rsidTr="005A13C5">
        <w:tc>
          <w:tcPr>
            <w:tcW w:w="2694" w:type="dxa"/>
          </w:tcPr>
          <w:p w14:paraId="25792053" w14:textId="77777777" w:rsidR="003A367D" w:rsidRPr="0036044B" w:rsidRDefault="003A367D" w:rsidP="0036044B">
            <w:pPr>
              <w:spacing w:after="120"/>
              <w:jc w:val="both"/>
            </w:pPr>
            <w:r w:rsidRPr="0036044B">
              <w:t>a) bugetul de stat, din acesta:</w:t>
            </w:r>
          </w:p>
          <w:p w14:paraId="32D9DBFB" w14:textId="15A036BA" w:rsidR="003A367D" w:rsidRPr="0036044B" w:rsidRDefault="00CD28D5" w:rsidP="0036044B">
            <w:pPr>
              <w:spacing w:after="120"/>
              <w:jc w:val="both"/>
            </w:pPr>
            <w:r w:rsidRPr="0036044B">
              <w:t xml:space="preserve">(i) </w:t>
            </w:r>
            <w:r w:rsidR="003A367D" w:rsidRPr="0036044B">
              <w:t>impozit pe profit</w:t>
            </w:r>
          </w:p>
          <w:p w14:paraId="67C4E169" w14:textId="0BD99910" w:rsidR="003A367D" w:rsidRPr="0036044B" w:rsidRDefault="00CD28D5" w:rsidP="0036044B">
            <w:pPr>
              <w:spacing w:after="120"/>
              <w:jc w:val="both"/>
            </w:pPr>
            <w:r w:rsidRPr="0036044B">
              <w:t xml:space="preserve">(ii) </w:t>
            </w:r>
            <w:r w:rsidR="003A367D" w:rsidRPr="0036044B">
              <w:t>impozit pe venit</w:t>
            </w:r>
          </w:p>
        </w:tc>
        <w:tc>
          <w:tcPr>
            <w:tcW w:w="1058" w:type="dxa"/>
          </w:tcPr>
          <w:p w14:paraId="07086A97" w14:textId="77777777" w:rsidR="003A367D" w:rsidRPr="0036044B" w:rsidRDefault="003A367D" w:rsidP="0036044B">
            <w:pPr>
              <w:pStyle w:val="BodyText2"/>
              <w:spacing w:after="120"/>
              <w:rPr>
                <w:sz w:val="24"/>
              </w:rPr>
            </w:pPr>
          </w:p>
        </w:tc>
        <w:tc>
          <w:tcPr>
            <w:tcW w:w="1366" w:type="dxa"/>
          </w:tcPr>
          <w:p w14:paraId="68EDD67B" w14:textId="77777777" w:rsidR="003A367D" w:rsidRPr="0036044B" w:rsidRDefault="003A367D" w:rsidP="0036044B">
            <w:pPr>
              <w:pStyle w:val="BodyText2"/>
              <w:spacing w:after="120"/>
              <w:rPr>
                <w:sz w:val="24"/>
              </w:rPr>
            </w:pPr>
          </w:p>
        </w:tc>
        <w:tc>
          <w:tcPr>
            <w:tcW w:w="1466" w:type="dxa"/>
          </w:tcPr>
          <w:p w14:paraId="074A0C4C" w14:textId="77777777" w:rsidR="003A367D" w:rsidRPr="0036044B" w:rsidRDefault="003A367D" w:rsidP="0036044B">
            <w:pPr>
              <w:pStyle w:val="BodyText2"/>
              <w:spacing w:after="120"/>
              <w:rPr>
                <w:sz w:val="24"/>
              </w:rPr>
            </w:pPr>
          </w:p>
        </w:tc>
        <w:tc>
          <w:tcPr>
            <w:tcW w:w="1366" w:type="dxa"/>
          </w:tcPr>
          <w:p w14:paraId="3EC66A65" w14:textId="77777777" w:rsidR="003A367D" w:rsidRPr="0036044B" w:rsidRDefault="003A367D" w:rsidP="0036044B">
            <w:pPr>
              <w:pStyle w:val="BodyText2"/>
              <w:spacing w:after="120"/>
              <w:rPr>
                <w:sz w:val="24"/>
              </w:rPr>
            </w:pPr>
          </w:p>
        </w:tc>
        <w:tc>
          <w:tcPr>
            <w:tcW w:w="1135" w:type="dxa"/>
          </w:tcPr>
          <w:p w14:paraId="5CEC73AA" w14:textId="77777777" w:rsidR="003A367D" w:rsidRPr="0036044B" w:rsidRDefault="003A367D" w:rsidP="0036044B">
            <w:pPr>
              <w:pStyle w:val="BodyText2"/>
              <w:spacing w:after="120"/>
              <w:rPr>
                <w:sz w:val="24"/>
              </w:rPr>
            </w:pPr>
          </w:p>
        </w:tc>
        <w:tc>
          <w:tcPr>
            <w:tcW w:w="1448" w:type="dxa"/>
          </w:tcPr>
          <w:p w14:paraId="761E2BD4" w14:textId="77777777" w:rsidR="003A367D" w:rsidRPr="0036044B" w:rsidRDefault="003A367D" w:rsidP="0036044B">
            <w:pPr>
              <w:pStyle w:val="BodyText2"/>
              <w:spacing w:after="120"/>
              <w:rPr>
                <w:sz w:val="24"/>
              </w:rPr>
            </w:pPr>
          </w:p>
        </w:tc>
      </w:tr>
      <w:tr w:rsidR="002B2AD7" w:rsidRPr="0036044B" w14:paraId="6771B99C" w14:textId="77777777" w:rsidTr="005A13C5">
        <w:tc>
          <w:tcPr>
            <w:tcW w:w="2694" w:type="dxa"/>
          </w:tcPr>
          <w:p w14:paraId="6A8A0E7F" w14:textId="577483D3" w:rsidR="003A367D" w:rsidRPr="0036044B" w:rsidRDefault="003A367D" w:rsidP="0036044B">
            <w:pPr>
              <w:spacing w:after="120"/>
              <w:jc w:val="both"/>
            </w:pPr>
            <w:r w:rsidRPr="0036044B">
              <w:t>b) bugete locale:</w:t>
            </w:r>
          </w:p>
          <w:p w14:paraId="3B0FCECB" w14:textId="7AB36B1B" w:rsidR="003A367D" w:rsidRPr="0036044B" w:rsidRDefault="00CD28D5" w:rsidP="0036044B">
            <w:pPr>
              <w:spacing w:after="120"/>
              <w:jc w:val="both"/>
            </w:pPr>
            <w:r w:rsidRPr="0036044B">
              <w:t xml:space="preserve">(i) </w:t>
            </w:r>
            <w:r w:rsidR="003A367D" w:rsidRPr="0036044B">
              <w:t>impozit pe profit</w:t>
            </w:r>
          </w:p>
        </w:tc>
        <w:tc>
          <w:tcPr>
            <w:tcW w:w="1058" w:type="dxa"/>
          </w:tcPr>
          <w:p w14:paraId="687D0BEC" w14:textId="77777777" w:rsidR="003A367D" w:rsidRPr="0036044B" w:rsidRDefault="003A367D" w:rsidP="0036044B">
            <w:pPr>
              <w:pStyle w:val="BodyText2"/>
              <w:spacing w:after="120"/>
              <w:rPr>
                <w:sz w:val="24"/>
              </w:rPr>
            </w:pPr>
          </w:p>
        </w:tc>
        <w:tc>
          <w:tcPr>
            <w:tcW w:w="1366" w:type="dxa"/>
          </w:tcPr>
          <w:p w14:paraId="203F5632" w14:textId="77777777" w:rsidR="003A367D" w:rsidRPr="0036044B" w:rsidRDefault="003A367D" w:rsidP="0036044B">
            <w:pPr>
              <w:pStyle w:val="BodyText2"/>
              <w:spacing w:after="120"/>
              <w:rPr>
                <w:sz w:val="24"/>
              </w:rPr>
            </w:pPr>
          </w:p>
        </w:tc>
        <w:tc>
          <w:tcPr>
            <w:tcW w:w="1466" w:type="dxa"/>
          </w:tcPr>
          <w:p w14:paraId="38DA8080" w14:textId="77777777" w:rsidR="003A367D" w:rsidRPr="0036044B" w:rsidRDefault="003A367D" w:rsidP="0036044B">
            <w:pPr>
              <w:pStyle w:val="BodyText2"/>
              <w:spacing w:after="120"/>
              <w:rPr>
                <w:sz w:val="24"/>
              </w:rPr>
            </w:pPr>
          </w:p>
        </w:tc>
        <w:tc>
          <w:tcPr>
            <w:tcW w:w="1366" w:type="dxa"/>
          </w:tcPr>
          <w:p w14:paraId="31807B27" w14:textId="77777777" w:rsidR="003A367D" w:rsidRPr="0036044B" w:rsidRDefault="003A367D" w:rsidP="0036044B">
            <w:pPr>
              <w:pStyle w:val="BodyText2"/>
              <w:spacing w:after="120"/>
              <w:rPr>
                <w:sz w:val="24"/>
              </w:rPr>
            </w:pPr>
          </w:p>
        </w:tc>
        <w:tc>
          <w:tcPr>
            <w:tcW w:w="1135" w:type="dxa"/>
          </w:tcPr>
          <w:p w14:paraId="29015A0A" w14:textId="77777777" w:rsidR="003A367D" w:rsidRPr="0036044B" w:rsidRDefault="003A367D" w:rsidP="0036044B">
            <w:pPr>
              <w:pStyle w:val="BodyText2"/>
              <w:spacing w:after="120"/>
              <w:rPr>
                <w:sz w:val="24"/>
              </w:rPr>
            </w:pPr>
          </w:p>
        </w:tc>
        <w:tc>
          <w:tcPr>
            <w:tcW w:w="1448" w:type="dxa"/>
          </w:tcPr>
          <w:p w14:paraId="33E8076D" w14:textId="77777777" w:rsidR="003A367D" w:rsidRPr="0036044B" w:rsidRDefault="003A367D" w:rsidP="0036044B">
            <w:pPr>
              <w:pStyle w:val="BodyText2"/>
              <w:spacing w:after="120"/>
              <w:rPr>
                <w:sz w:val="24"/>
              </w:rPr>
            </w:pPr>
          </w:p>
        </w:tc>
      </w:tr>
      <w:tr w:rsidR="002B2AD7" w:rsidRPr="0036044B" w14:paraId="3ECF4DE7" w14:textId="77777777" w:rsidTr="005A13C5">
        <w:tc>
          <w:tcPr>
            <w:tcW w:w="2694" w:type="dxa"/>
          </w:tcPr>
          <w:p w14:paraId="454D76E8" w14:textId="401F8F98" w:rsidR="003A367D" w:rsidRPr="0036044B" w:rsidRDefault="003A367D" w:rsidP="0036044B">
            <w:pPr>
              <w:spacing w:after="120"/>
              <w:jc w:val="both"/>
            </w:pPr>
            <w:r w:rsidRPr="0036044B">
              <w:t>c) bugetul asigurărilor sociale</w:t>
            </w:r>
            <w:r w:rsidR="00CD13F8" w:rsidRPr="0036044B">
              <w:t xml:space="preserve"> de stat</w:t>
            </w:r>
          </w:p>
          <w:p w14:paraId="551EFD10" w14:textId="6A1DCE03" w:rsidR="003A367D" w:rsidRPr="0036044B" w:rsidRDefault="00CD28D5" w:rsidP="0036044B">
            <w:pPr>
              <w:spacing w:after="120"/>
              <w:jc w:val="both"/>
            </w:pPr>
            <w:r w:rsidRPr="0036044B">
              <w:t xml:space="preserve">(i) </w:t>
            </w:r>
            <w:proofErr w:type="spellStart"/>
            <w:r w:rsidR="003A367D" w:rsidRPr="0036044B">
              <w:t>contribuţii</w:t>
            </w:r>
            <w:proofErr w:type="spellEnd"/>
            <w:r w:rsidR="003A367D" w:rsidRPr="0036044B">
              <w:t xml:space="preserve"> de asigurări</w:t>
            </w:r>
          </w:p>
        </w:tc>
        <w:tc>
          <w:tcPr>
            <w:tcW w:w="1058" w:type="dxa"/>
          </w:tcPr>
          <w:p w14:paraId="20DF36E4" w14:textId="77777777" w:rsidR="003A367D" w:rsidRPr="0036044B" w:rsidRDefault="003A367D" w:rsidP="0036044B">
            <w:pPr>
              <w:pStyle w:val="BodyText2"/>
              <w:spacing w:after="120"/>
              <w:rPr>
                <w:sz w:val="24"/>
              </w:rPr>
            </w:pPr>
          </w:p>
        </w:tc>
        <w:tc>
          <w:tcPr>
            <w:tcW w:w="1366" w:type="dxa"/>
          </w:tcPr>
          <w:p w14:paraId="2E4987C5" w14:textId="77777777" w:rsidR="003A367D" w:rsidRPr="0036044B" w:rsidRDefault="003A367D" w:rsidP="0036044B">
            <w:pPr>
              <w:pStyle w:val="BodyText2"/>
              <w:spacing w:after="120"/>
              <w:rPr>
                <w:sz w:val="24"/>
              </w:rPr>
            </w:pPr>
          </w:p>
        </w:tc>
        <w:tc>
          <w:tcPr>
            <w:tcW w:w="1466" w:type="dxa"/>
          </w:tcPr>
          <w:p w14:paraId="55EA5A38" w14:textId="77777777" w:rsidR="003A367D" w:rsidRPr="0036044B" w:rsidRDefault="003A367D" w:rsidP="0036044B">
            <w:pPr>
              <w:pStyle w:val="BodyText2"/>
              <w:spacing w:after="120"/>
              <w:rPr>
                <w:sz w:val="24"/>
              </w:rPr>
            </w:pPr>
          </w:p>
        </w:tc>
        <w:tc>
          <w:tcPr>
            <w:tcW w:w="1366" w:type="dxa"/>
          </w:tcPr>
          <w:p w14:paraId="1A940564" w14:textId="77777777" w:rsidR="003A367D" w:rsidRPr="0036044B" w:rsidRDefault="003A367D" w:rsidP="0036044B">
            <w:pPr>
              <w:pStyle w:val="BodyText2"/>
              <w:spacing w:after="120"/>
              <w:rPr>
                <w:sz w:val="24"/>
              </w:rPr>
            </w:pPr>
          </w:p>
        </w:tc>
        <w:tc>
          <w:tcPr>
            <w:tcW w:w="1135" w:type="dxa"/>
          </w:tcPr>
          <w:p w14:paraId="3B9F8826" w14:textId="77777777" w:rsidR="003A367D" w:rsidRPr="0036044B" w:rsidRDefault="003A367D" w:rsidP="0036044B">
            <w:pPr>
              <w:pStyle w:val="BodyText2"/>
              <w:spacing w:after="120"/>
              <w:rPr>
                <w:sz w:val="24"/>
              </w:rPr>
            </w:pPr>
          </w:p>
        </w:tc>
        <w:tc>
          <w:tcPr>
            <w:tcW w:w="1448" w:type="dxa"/>
          </w:tcPr>
          <w:p w14:paraId="7236E3D5" w14:textId="77777777" w:rsidR="003A367D" w:rsidRPr="0036044B" w:rsidRDefault="003A367D" w:rsidP="0036044B">
            <w:pPr>
              <w:pStyle w:val="BodyText2"/>
              <w:spacing w:after="120"/>
              <w:rPr>
                <w:sz w:val="24"/>
              </w:rPr>
            </w:pPr>
          </w:p>
        </w:tc>
      </w:tr>
      <w:tr w:rsidR="002B2AD7" w:rsidRPr="0036044B" w14:paraId="3B61ACE7" w14:textId="77777777" w:rsidTr="005A13C5">
        <w:tc>
          <w:tcPr>
            <w:tcW w:w="2694" w:type="dxa"/>
          </w:tcPr>
          <w:p w14:paraId="62FD1E56" w14:textId="77777777" w:rsidR="003A367D" w:rsidRPr="0036044B" w:rsidRDefault="003A367D" w:rsidP="0036044B">
            <w:pPr>
              <w:spacing w:after="120"/>
              <w:jc w:val="both"/>
            </w:pPr>
            <w:r w:rsidRPr="0036044B">
              <w:t xml:space="preserve">d) </w:t>
            </w:r>
            <w:r w:rsidR="00A20D72" w:rsidRPr="0036044B">
              <w:t>alte tipuri de venituri</w:t>
            </w:r>
          </w:p>
          <w:p w14:paraId="5EB8BD87" w14:textId="4527B335" w:rsidR="00A20D72" w:rsidRPr="0036044B" w:rsidRDefault="00A20D72" w:rsidP="0036044B">
            <w:pPr>
              <w:spacing w:after="120"/>
              <w:jc w:val="both"/>
            </w:pPr>
            <w:r w:rsidRPr="0036044B">
              <w:t>(</w:t>
            </w:r>
            <w:r w:rsidR="00EF284D" w:rsidRPr="0036044B">
              <w:t>S</w:t>
            </w:r>
            <w:r w:rsidRPr="0036044B">
              <w:t>e va menționa natura acestora</w:t>
            </w:r>
            <w:r w:rsidR="00A82648" w:rsidRPr="0036044B">
              <w:t>.</w:t>
            </w:r>
            <w:r w:rsidRPr="0036044B">
              <w:t xml:space="preserve">) </w:t>
            </w:r>
          </w:p>
        </w:tc>
        <w:tc>
          <w:tcPr>
            <w:tcW w:w="1058" w:type="dxa"/>
          </w:tcPr>
          <w:p w14:paraId="704BCA51" w14:textId="77777777" w:rsidR="003A367D" w:rsidRPr="0036044B" w:rsidRDefault="003A367D" w:rsidP="0036044B">
            <w:pPr>
              <w:pStyle w:val="BodyText2"/>
              <w:spacing w:after="120"/>
              <w:rPr>
                <w:sz w:val="24"/>
              </w:rPr>
            </w:pPr>
          </w:p>
        </w:tc>
        <w:tc>
          <w:tcPr>
            <w:tcW w:w="1366" w:type="dxa"/>
          </w:tcPr>
          <w:p w14:paraId="269D834F" w14:textId="77777777" w:rsidR="003A367D" w:rsidRPr="0036044B" w:rsidRDefault="003A367D" w:rsidP="0036044B">
            <w:pPr>
              <w:pStyle w:val="BodyText2"/>
              <w:spacing w:after="120"/>
              <w:rPr>
                <w:sz w:val="24"/>
              </w:rPr>
            </w:pPr>
          </w:p>
        </w:tc>
        <w:tc>
          <w:tcPr>
            <w:tcW w:w="1466" w:type="dxa"/>
          </w:tcPr>
          <w:p w14:paraId="03C3272C" w14:textId="77777777" w:rsidR="003A367D" w:rsidRPr="0036044B" w:rsidRDefault="003A367D" w:rsidP="0036044B">
            <w:pPr>
              <w:pStyle w:val="BodyText2"/>
              <w:spacing w:after="120"/>
              <w:rPr>
                <w:sz w:val="24"/>
              </w:rPr>
            </w:pPr>
          </w:p>
        </w:tc>
        <w:tc>
          <w:tcPr>
            <w:tcW w:w="1366" w:type="dxa"/>
          </w:tcPr>
          <w:p w14:paraId="70C282AC" w14:textId="77777777" w:rsidR="003A367D" w:rsidRPr="0036044B" w:rsidRDefault="003A367D" w:rsidP="0036044B">
            <w:pPr>
              <w:pStyle w:val="BodyText2"/>
              <w:spacing w:after="120"/>
              <w:rPr>
                <w:sz w:val="24"/>
              </w:rPr>
            </w:pPr>
          </w:p>
        </w:tc>
        <w:tc>
          <w:tcPr>
            <w:tcW w:w="1135" w:type="dxa"/>
          </w:tcPr>
          <w:p w14:paraId="711BE975" w14:textId="77777777" w:rsidR="003A367D" w:rsidRPr="0036044B" w:rsidRDefault="003A367D" w:rsidP="0036044B">
            <w:pPr>
              <w:pStyle w:val="BodyText2"/>
              <w:spacing w:after="120"/>
              <w:rPr>
                <w:sz w:val="24"/>
              </w:rPr>
            </w:pPr>
          </w:p>
        </w:tc>
        <w:tc>
          <w:tcPr>
            <w:tcW w:w="1448" w:type="dxa"/>
          </w:tcPr>
          <w:p w14:paraId="56D819C6" w14:textId="77777777" w:rsidR="003A367D" w:rsidRPr="0036044B" w:rsidRDefault="003A367D" w:rsidP="0036044B">
            <w:pPr>
              <w:pStyle w:val="BodyText2"/>
              <w:spacing w:after="120"/>
              <w:rPr>
                <w:sz w:val="24"/>
              </w:rPr>
            </w:pPr>
          </w:p>
        </w:tc>
      </w:tr>
      <w:tr w:rsidR="002B2AD7" w:rsidRPr="0036044B" w14:paraId="126F1061" w14:textId="77777777" w:rsidTr="005A13C5">
        <w:tc>
          <w:tcPr>
            <w:tcW w:w="2694" w:type="dxa"/>
          </w:tcPr>
          <w:p w14:paraId="1415B230" w14:textId="72A3E85F" w:rsidR="0025682E" w:rsidRPr="0036044B" w:rsidRDefault="00CD28D5" w:rsidP="0036044B">
            <w:pPr>
              <w:spacing w:after="120"/>
              <w:jc w:val="both"/>
              <w:rPr>
                <w:b/>
                <w:bCs/>
              </w:rPr>
            </w:pPr>
            <w:r w:rsidRPr="0036044B">
              <w:rPr>
                <w:b/>
                <w:bCs/>
              </w:rPr>
              <w:t>4.</w:t>
            </w:r>
            <w:r w:rsidR="00ED5D29" w:rsidRPr="0036044B">
              <w:rPr>
                <w:b/>
                <w:bCs/>
              </w:rPr>
              <w:t>2.</w:t>
            </w:r>
            <w:r w:rsidRPr="0036044B">
              <w:rPr>
                <w:b/>
                <w:bCs/>
              </w:rPr>
              <w:t xml:space="preserve"> </w:t>
            </w:r>
            <w:r w:rsidR="00ED5D29" w:rsidRPr="0036044B">
              <w:rPr>
                <w:b/>
                <w:bCs/>
              </w:rPr>
              <w:t>Modificări ale cheltuielilor bugetare</w:t>
            </w:r>
            <w:r w:rsidR="00A82648" w:rsidRPr="0036044B">
              <w:rPr>
                <w:b/>
                <w:bCs/>
              </w:rPr>
              <w:t>, plus/minus,</w:t>
            </w:r>
            <w:r w:rsidR="00ED5D29" w:rsidRPr="0036044B">
              <w:rPr>
                <w:b/>
                <w:bCs/>
              </w:rPr>
              <w:t xml:space="preserve"> din care:</w:t>
            </w:r>
          </w:p>
        </w:tc>
        <w:tc>
          <w:tcPr>
            <w:tcW w:w="1058" w:type="dxa"/>
          </w:tcPr>
          <w:p w14:paraId="7BB1C451" w14:textId="3A3864A6" w:rsidR="00E62BA0" w:rsidRPr="0036044B" w:rsidRDefault="00E62BA0" w:rsidP="0036044B">
            <w:pPr>
              <w:spacing w:after="120"/>
              <w:jc w:val="center"/>
            </w:pPr>
          </w:p>
        </w:tc>
        <w:tc>
          <w:tcPr>
            <w:tcW w:w="1366" w:type="dxa"/>
          </w:tcPr>
          <w:p w14:paraId="44C5A3FF" w14:textId="75FE5CBB" w:rsidR="00E62BA0" w:rsidRPr="0036044B" w:rsidRDefault="00E62BA0" w:rsidP="0036044B">
            <w:pPr>
              <w:spacing w:after="120"/>
              <w:jc w:val="center"/>
            </w:pPr>
          </w:p>
        </w:tc>
        <w:tc>
          <w:tcPr>
            <w:tcW w:w="1466" w:type="dxa"/>
          </w:tcPr>
          <w:p w14:paraId="1702DFD2" w14:textId="6D9B32F2" w:rsidR="00E62BA0" w:rsidRPr="0036044B" w:rsidRDefault="00E62BA0" w:rsidP="0036044B">
            <w:pPr>
              <w:spacing w:after="120"/>
              <w:jc w:val="center"/>
            </w:pPr>
          </w:p>
        </w:tc>
        <w:tc>
          <w:tcPr>
            <w:tcW w:w="1366" w:type="dxa"/>
          </w:tcPr>
          <w:p w14:paraId="1D7B38D6" w14:textId="659DB0F9" w:rsidR="00E62BA0" w:rsidRPr="0036044B" w:rsidRDefault="00E62BA0" w:rsidP="0036044B">
            <w:pPr>
              <w:spacing w:after="120"/>
              <w:jc w:val="center"/>
            </w:pPr>
          </w:p>
        </w:tc>
        <w:tc>
          <w:tcPr>
            <w:tcW w:w="1135" w:type="dxa"/>
          </w:tcPr>
          <w:p w14:paraId="09F7CD9E" w14:textId="2AFA766B" w:rsidR="00E62BA0" w:rsidRPr="0036044B" w:rsidRDefault="00E62BA0" w:rsidP="0036044B">
            <w:pPr>
              <w:spacing w:after="120"/>
              <w:jc w:val="center"/>
            </w:pPr>
          </w:p>
        </w:tc>
        <w:tc>
          <w:tcPr>
            <w:tcW w:w="1448" w:type="dxa"/>
          </w:tcPr>
          <w:p w14:paraId="16493B27" w14:textId="191A8F5C" w:rsidR="00E62BA0" w:rsidRPr="0036044B" w:rsidRDefault="00E62BA0" w:rsidP="0036044B">
            <w:pPr>
              <w:spacing w:after="120"/>
              <w:jc w:val="center"/>
            </w:pPr>
          </w:p>
        </w:tc>
      </w:tr>
      <w:tr w:rsidR="002B2AD7" w:rsidRPr="0036044B" w14:paraId="408E6817" w14:textId="77777777" w:rsidTr="005A13C5">
        <w:tc>
          <w:tcPr>
            <w:tcW w:w="2694" w:type="dxa"/>
          </w:tcPr>
          <w:p w14:paraId="2D265B20" w14:textId="19563007" w:rsidR="00CD28D5" w:rsidRPr="0036044B" w:rsidRDefault="00CD28D5" w:rsidP="0036044B">
            <w:pPr>
              <w:spacing w:after="120"/>
              <w:jc w:val="both"/>
            </w:pPr>
            <w:r w:rsidRPr="0036044B">
              <w:t>a) buget de stat, din acesta:</w:t>
            </w:r>
          </w:p>
          <w:p w14:paraId="3382ADB9" w14:textId="31517959" w:rsidR="00CD28D5" w:rsidRPr="0036044B" w:rsidRDefault="00CD28D5" w:rsidP="0036044B">
            <w:pPr>
              <w:spacing w:after="120"/>
              <w:jc w:val="both"/>
            </w:pPr>
            <w:r w:rsidRPr="0036044B">
              <w:t>(i) cheltuieli de personal</w:t>
            </w:r>
          </w:p>
          <w:p w14:paraId="2AF2C20C" w14:textId="24F90ED4" w:rsidR="00CD28D5" w:rsidRPr="0036044B" w:rsidRDefault="00CD28D5" w:rsidP="0036044B">
            <w:pPr>
              <w:spacing w:after="120"/>
              <w:jc w:val="both"/>
            </w:pPr>
            <w:r w:rsidRPr="0036044B">
              <w:t xml:space="preserve">(ii) bunuri </w:t>
            </w:r>
            <w:proofErr w:type="spellStart"/>
            <w:r w:rsidRPr="0036044B">
              <w:t>şi</w:t>
            </w:r>
            <w:proofErr w:type="spellEnd"/>
            <w:r w:rsidRPr="0036044B">
              <w:t xml:space="preserve"> servicii</w:t>
            </w:r>
          </w:p>
        </w:tc>
        <w:tc>
          <w:tcPr>
            <w:tcW w:w="1058" w:type="dxa"/>
          </w:tcPr>
          <w:p w14:paraId="3E0B1602" w14:textId="77777777" w:rsidR="00CD28D5" w:rsidRPr="0036044B" w:rsidRDefault="00CD28D5" w:rsidP="0036044B">
            <w:pPr>
              <w:spacing w:after="120"/>
              <w:jc w:val="center"/>
            </w:pPr>
          </w:p>
        </w:tc>
        <w:tc>
          <w:tcPr>
            <w:tcW w:w="1366" w:type="dxa"/>
          </w:tcPr>
          <w:p w14:paraId="4A5827CA" w14:textId="77777777" w:rsidR="00CD28D5" w:rsidRPr="0036044B" w:rsidRDefault="00CD28D5" w:rsidP="0036044B">
            <w:pPr>
              <w:spacing w:after="120"/>
              <w:jc w:val="center"/>
            </w:pPr>
          </w:p>
        </w:tc>
        <w:tc>
          <w:tcPr>
            <w:tcW w:w="1466" w:type="dxa"/>
          </w:tcPr>
          <w:p w14:paraId="32FB3ACA" w14:textId="77777777" w:rsidR="00CD28D5" w:rsidRPr="0036044B" w:rsidRDefault="00CD28D5" w:rsidP="0036044B">
            <w:pPr>
              <w:spacing w:after="120"/>
              <w:jc w:val="center"/>
            </w:pPr>
          </w:p>
        </w:tc>
        <w:tc>
          <w:tcPr>
            <w:tcW w:w="1366" w:type="dxa"/>
          </w:tcPr>
          <w:p w14:paraId="6B0B1905" w14:textId="77777777" w:rsidR="00CD28D5" w:rsidRPr="0036044B" w:rsidRDefault="00CD28D5" w:rsidP="0036044B">
            <w:pPr>
              <w:spacing w:after="120"/>
              <w:jc w:val="center"/>
            </w:pPr>
          </w:p>
        </w:tc>
        <w:tc>
          <w:tcPr>
            <w:tcW w:w="1135" w:type="dxa"/>
          </w:tcPr>
          <w:p w14:paraId="23CBB327" w14:textId="77777777" w:rsidR="00CD28D5" w:rsidRPr="0036044B" w:rsidRDefault="00CD28D5" w:rsidP="0036044B">
            <w:pPr>
              <w:spacing w:after="120"/>
              <w:jc w:val="center"/>
            </w:pPr>
          </w:p>
        </w:tc>
        <w:tc>
          <w:tcPr>
            <w:tcW w:w="1448" w:type="dxa"/>
          </w:tcPr>
          <w:p w14:paraId="58A4AD04" w14:textId="77777777" w:rsidR="00CD28D5" w:rsidRPr="0036044B" w:rsidRDefault="00CD28D5" w:rsidP="0036044B">
            <w:pPr>
              <w:spacing w:after="120"/>
              <w:jc w:val="center"/>
            </w:pPr>
          </w:p>
        </w:tc>
      </w:tr>
      <w:tr w:rsidR="002B2AD7" w:rsidRPr="0036044B" w14:paraId="247EA305" w14:textId="77777777" w:rsidTr="005A13C5">
        <w:tc>
          <w:tcPr>
            <w:tcW w:w="2694" w:type="dxa"/>
          </w:tcPr>
          <w:p w14:paraId="1413F8FD" w14:textId="15D4A2BF" w:rsidR="00CD28D5" w:rsidRPr="0036044B" w:rsidRDefault="00CD28D5" w:rsidP="0036044B">
            <w:pPr>
              <w:spacing w:after="120"/>
              <w:jc w:val="both"/>
            </w:pPr>
            <w:r w:rsidRPr="0036044B">
              <w:t>b)</w:t>
            </w:r>
            <w:r w:rsidR="00CD13F8" w:rsidRPr="0036044B">
              <w:t xml:space="preserve"> </w:t>
            </w:r>
            <w:r w:rsidRPr="0036044B">
              <w:t>bugete locale:</w:t>
            </w:r>
          </w:p>
          <w:p w14:paraId="5D43B430" w14:textId="0375DEBE" w:rsidR="00CD28D5" w:rsidRPr="0036044B" w:rsidRDefault="00CD28D5" w:rsidP="0036044B">
            <w:pPr>
              <w:spacing w:after="120"/>
              <w:jc w:val="both"/>
            </w:pPr>
            <w:r w:rsidRPr="0036044B">
              <w:t>(i) cheltuieli de personal</w:t>
            </w:r>
          </w:p>
          <w:p w14:paraId="5FAAC7DC" w14:textId="3646E615" w:rsidR="00CD28D5" w:rsidRPr="0036044B" w:rsidRDefault="00CD28D5" w:rsidP="0036044B">
            <w:pPr>
              <w:spacing w:after="120"/>
              <w:jc w:val="both"/>
            </w:pPr>
            <w:r w:rsidRPr="0036044B">
              <w:t xml:space="preserve">(ii) bunuri </w:t>
            </w:r>
            <w:proofErr w:type="spellStart"/>
            <w:r w:rsidRPr="0036044B">
              <w:t>şi</w:t>
            </w:r>
            <w:proofErr w:type="spellEnd"/>
            <w:r w:rsidRPr="0036044B">
              <w:t xml:space="preserve"> servicii</w:t>
            </w:r>
          </w:p>
        </w:tc>
        <w:tc>
          <w:tcPr>
            <w:tcW w:w="1058" w:type="dxa"/>
          </w:tcPr>
          <w:p w14:paraId="35C2339D" w14:textId="77777777" w:rsidR="00CD28D5" w:rsidRPr="0036044B" w:rsidRDefault="00CD28D5" w:rsidP="0036044B">
            <w:pPr>
              <w:spacing w:after="120"/>
              <w:jc w:val="center"/>
            </w:pPr>
          </w:p>
        </w:tc>
        <w:tc>
          <w:tcPr>
            <w:tcW w:w="1366" w:type="dxa"/>
          </w:tcPr>
          <w:p w14:paraId="7642EF10" w14:textId="77777777" w:rsidR="00CD28D5" w:rsidRPr="0036044B" w:rsidRDefault="00CD28D5" w:rsidP="0036044B">
            <w:pPr>
              <w:spacing w:after="120"/>
              <w:jc w:val="center"/>
            </w:pPr>
          </w:p>
        </w:tc>
        <w:tc>
          <w:tcPr>
            <w:tcW w:w="1466" w:type="dxa"/>
          </w:tcPr>
          <w:p w14:paraId="00DA41A3" w14:textId="77777777" w:rsidR="00CD28D5" w:rsidRPr="0036044B" w:rsidRDefault="00CD28D5" w:rsidP="0036044B">
            <w:pPr>
              <w:spacing w:after="120"/>
              <w:jc w:val="center"/>
            </w:pPr>
          </w:p>
        </w:tc>
        <w:tc>
          <w:tcPr>
            <w:tcW w:w="1366" w:type="dxa"/>
          </w:tcPr>
          <w:p w14:paraId="5014B167" w14:textId="77777777" w:rsidR="00CD28D5" w:rsidRPr="0036044B" w:rsidRDefault="00CD28D5" w:rsidP="0036044B">
            <w:pPr>
              <w:spacing w:after="120"/>
              <w:jc w:val="center"/>
            </w:pPr>
          </w:p>
        </w:tc>
        <w:tc>
          <w:tcPr>
            <w:tcW w:w="1135" w:type="dxa"/>
          </w:tcPr>
          <w:p w14:paraId="44E6962F" w14:textId="77777777" w:rsidR="00CD28D5" w:rsidRPr="0036044B" w:rsidRDefault="00CD28D5" w:rsidP="0036044B">
            <w:pPr>
              <w:spacing w:after="120"/>
              <w:jc w:val="center"/>
            </w:pPr>
          </w:p>
        </w:tc>
        <w:tc>
          <w:tcPr>
            <w:tcW w:w="1448" w:type="dxa"/>
          </w:tcPr>
          <w:p w14:paraId="5D1C5F3E" w14:textId="77777777" w:rsidR="00CD28D5" w:rsidRPr="0036044B" w:rsidRDefault="00CD28D5" w:rsidP="0036044B">
            <w:pPr>
              <w:spacing w:after="120"/>
              <w:jc w:val="center"/>
            </w:pPr>
          </w:p>
        </w:tc>
      </w:tr>
      <w:tr w:rsidR="002B2AD7" w:rsidRPr="0036044B" w14:paraId="64A76806" w14:textId="77777777" w:rsidTr="005A13C5">
        <w:tc>
          <w:tcPr>
            <w:tcW w:w="2694" w:type="dxa"/>
          </w:tcPr>
          <w:p w14:paraId="30172BDF" w14:textId="0D2320D4" w:rsidR="00CD13F8" w:rsidRPr="0036044B" w:rsidRDefault="00CD13F8" w:rsidP="0036044B">
            <w:pPr>
              <w:spacing w:after="120"/>
              <w:jc w:val="both"/>
            </w:pPr>
            <w:r w:rsidRPr="0036044B">
              <w:t>c) bugetul asigurărilor sociale de stat:</w:t>
            </w:r>
          </w:p>
          <w:p w14:paraId="03FADADD" w14:textId="1EB62078" w:rsidR="00CD13F8" w:rsidRPr="0036044B" w:rsidRDefault="00CD13F8" w:rsidP="0036044B">
            <w:pPr>
              <w:spacing w:after="120"/>
              <w:jc w:val="both"/>
            </w:pPr>
            <w:r w:rsidRPr="0036044B">
              <w:lastRenderedPageBreak/>
              <w:t>(i) cheltuieli de personal</w:t>
            </w:r>
          </w:p>
          <w:p w14:paraId="55656529" w14:textId="757B5B4C" w:rsidR="00CD13F8" w:rsidRPr="0036044B" w:rsidRDefault="00CD13F8" w:rsidP="0036044B">
            <w:pPr>
              <w:spacing w:after="120"/>
              <w:jc w:val="both"/>
            </w:pPr>
            <w:r w:rsidRPr="0036044B">
              <w:t xml:space="preserve">(ii) bunuri </w:t>
            </w:r>
            <w:proofErr w:type="spellStart"/>
            <w:r w:rsidRPr="0036044B">
              <w:t>şi</w:t>
            </w:r>
            <w:proofErr w:type="spellEnd"/>
            <w:r w:rsidRPr="0036044B">
              <w:t xml:space="preserve"> servicii</w:t>
            </w:r>
          </w:p>
        </w:tc>
        <w:tc>
          <w:tcPr>
            <w:tcW w:w="1058" w:type="dxa"/>
          </w:tcPr>
          <w:p w14:paraId="2DE6BAAD" w14:textId="77777777" w:rsidR="00CD13F8" w:rsidRPr="0036044B" w:rsidRDefault="00CD13F8" w:rsidP="0036044B">
            <w:pPr>
              <w:spacing w:after="120"/>
              <w:jc w:val="center"/>
            </w:pPr>
          </w:p>
        </w:tc>
        <w:tc>
          <w:tcPr>
            <w:tcW w:w="1366" w:type="dxa"/>
          </w:tcPr>
          <w:p w14:paraId="07943E17" w14:textId="77777777" w:rsidR="00CD13F8" w:rsidRPr="0036044B" w:rsidRDefault="00CD13F8" w:rsidP="0036044B">
            <w:pPr>
              <w:spacing w:after="120"/>
              <w:jc w:val="center"/>
            </w:pPr>
          </w:p>
        </w:tc>
        <w:tc>
          <w:tcPr>
            <w:tcW w:w="1466" w:type="dxa"/>
          </w:tcPr>
          <w:p w14:paraId="5D1EB785" w14:textId="77777777" w:rsidR="00CD13F8" w:rsidRPr="0036044B" w:rsidRDefault="00CD13F8" w:rsidP="0036044B">
            <w:pPr>
              <w:spacing w:after="120"/>
              <w:jc w:val="center"/>
            </w:pPr>
          </w:p>
        </w:tc>
        <w:tc>
          <w:tcPr>
            <w:tcW w:w="1366" w:type="dxa"/>
          </w:tcPr>
          <w:p w14:paraId="7E7347DF" w14:textId="77777777" w:rsidR="00CD13F8" w:rsidRPr="0036044B" w:rsidRDefault="00CD13F8" w:rsidP="0036044B">
            <w:pPr>
              <w:spacing w:after="120"/>
              <w:jc w:val="center"/>
            </w:pPr>
          </w:p>
        </w:tc>
        <w:tc>
          <w:tcPr>
            <w:tcW w:w="1135" w:type="dxa"/>
          </w:tcPr>
          <w:p w14:paraId="27993F0F" w14:textId="77777777" w:rsidR="00CD13F8" w:rsidRPr="0036044B" w:rsidRDefault="00CD13F8" w:rsidP="0036044B">
            <w:pPr>
              <w:spacing w:after="120"/>
              <w:jc w:val="center"/>
            </w:pPr>
          </w:p>
        </w:tc>
        <w:tc>
          <w:tcPr>
            <w:tcW w:w="1448" w:type="dxa"/>
          </w:tcPr>
          <w:p w14:paraId="3D14DE78" w14:textId="77777777" w:rsidR="00CD13F8" w:rsidRPr="0036044B" w:rsidRDefault="00CD13F8" w:rsidP="0036044B">
            <w:pPr>
              <w:spacing w:after="120"/>
              <w:jc w:val="center"/>
            </w:pPr>
          </w:p>
        </w:tc>
      </w:tr>
      <w:tr w:rsidR="002B2AD7" w:rsidRPr="0036044B" w14:paraId="5C3A403A" w14:textId="77777777" w:rsidTr="005A13C5">
        <w:tc>
          <w:tcPr>
            <w:tcW w:w="2694" w:type="dxa"/>
          </w:tcPr>
          <w:p w14:paraId="3BF8A849" w14:textId="176DF995" w:rsidR="00EF284D" w:rsidRPr="0036044B" w:rsidRDefault="00EF284D" w:rsidP="0036044B">
            <w:pPr>
              <w:spacing w:after="120"/>
              <w:jc w:val="both"/>
            </w:pPr>
            <w:r w:rsidRPr="0036044B">
              <w:t xml:space="preserve">d) alte tipuri de </w:t>
            </w:r>
            <w:r w:rsidR="00A82648" w:rsidRPr="0036044B">
              <w:t>cheltuieli</w:t>
            </w:r>
          </w:p>
          <w:p w14:paraId="359EE9C4" w14:textId="710C86CB" w:rsidR="00EF284D" w:rsidRPr="0036044B" w:rsidRDefault="00EF284D" w:rsidP="0036044B">
            <w:pPr>
              <w:spacing w:after="120"/>
              <w:jc w:val="both"/>
            </w:pPr>
            <w:r w:rsidRPr="0036044B">
              <w:t>(Se va menționa natura acestora</w:t>
            </w:r>
            <w:r w:rsidR="00A82648" w:rsidRPr="0036044B">
              <w:t>.</w:t>
            </w:r>
            <w:r w:rsidRPr="0036044B">
              <w:t>)</w:t>
            </w:r>
          </w:p>
        </w:tc>
        <w:tc>
          <w:tcPr>
            <w:tcW w:w="1058" w:type="dxa"/>
          </w:tcPr>
          <w:p w14:paraId="2C7AC338" w14:textId="77777777" w:rsidR="00EF284D" w:rsidRPr="0036044B" w:rsidRDefault="00EF284D" w:rsidP="0036044B">
            <w:pPr>
              <w:spacing w:after="120"/>
              <w:jc w:val="center"/>
            </w:pPr>
          </w:p>
        </w:tc>
        <w:tc>
          <w:tcPr>
            <w:tcW w:w="1366" w:type="dxa"/>
          </w:tcPr>
          <w:p w14:paraId="7CA00BF7" w14:textId="77777777" w:rsidR="00EF284D" w:rsidRPr="0036044B" w:rsidRDefault="00EF284D" w:rsidP="0036044B">
            <w:pPr>
              <w:spacing w:after="120"/>
              <w:jc w:val="center"/>
            </w:pPr>
          </w:p>
        </w:tc>
        <w:tc>
          <w:tcPr>
            <w:tcW w:w="1466" w:type="dxa"/>
          </w:tcPr>
          <w:p w14:paraId="22F7EDA8" w14:textId="77777777" w:rsidR="00EF284D" w:rsidRPr="0036044B" w:rsidRDefault="00EF284D" w:rsidP="0036044B">
            <w:pPr>
              <w:spacing w:after="120"/>
              <w:jc w:val="center"/>
            </w:pPr>
          </w:p>
        </w:tc>
        <w:tc>
          <w:tcPr>
            <w:tcW w:w="1366" w:type="dxa"/>
          </w:tcPr>
          <w:p w14:paraId="1C65014D" w14:textId="77777777" w:rsidR="00EF284D" w:rsidRPr="0036044B" w:rsidRDefault="00EF284D" w:rsidP="0036044B">
            <w:pPr>
              <w:spacing w:after="120"/>
              <w:jc w:val="center"/>
            </w:pPr>
          </w:p>
        </w:tc>
        <w:tc>
          <w:tcPr>
            <w:tcW w:w="1135" w:type="dxa"/>
          </w:tcPr>
          <w:p w14:paraId="69EFB472" w14:textId="77777777" w:rsidR="00EF284D" w:rsidRPr="0036044B" w:rsidRDefault="00EF284D" w:rsidP="0036044B">
            <w:pPr>
              <w:spacing w:after="120"/>
              <w:jc w:val="center"/>
            </w:pPr>
          </w:p>
        </w:tc>
        <w:tc>
          <w:tcPr>
            <w:tcW w:w="1448" w:type="dxa"/>
          </w:tcPr>
          <w:p w14:paraId="2BEA7293" w14:textId="77777777" w:rsidR="00EF284D" w:rsidRPr="0036044B" w:rsidRDefault="00EF284D" w:rsidP="0036044B">
            <w:pPr>
              <w:spacing w:after="120"/>
              <w:jc w:val="center"/>
            </w:pPr>
          </w:p>
        </w:tc>
      </w:tr>
      <w:tr w:rsidR="002B2AD7" w:rsidRPr="0036044B" w14:paraId="6E9F3798" w14:textId="77777777" w:rsidTr="005A13C5">
        <w:tc>
          <w:tcPr>
            <w:tcW w:w="2694" w:type="dxa"/>
          </w:tcPr>
          <w:p w14:paraId="1C49C2EC" w14:textId="77777777" w:rsidR="00A75729" w:rsidRPr="0036044B" w:rsidRDefault="00A75729" w:rsidP="0036044B">
            <w:pPr>
              <w:spacing w:after="120"/>
              <w:jc w:val="both"/>
              <w:rPr>
                <w:b/>
                <w:bCs/>
              </w:rPr>
            </w:pPr>
            <w:r w:rsidRPr="0036044B">
              <w:rPr>
                <w:b/>
                <w:bCs/>
              </w:rPr>
              <w:t>4.3. Impact financiar, plus/minus, din care:</w:t>
            </w:r>
          </w:p>
          <w:p w14:paraId="656BFCEC" w14:textId="54C7982C" w:rsidR="00A75729" w:rsidRPr="0036044B" w:rsidRDefault="00A75729" w:rsidP="0036044B">
            <w:pPr>
              <w:spacing w:after="120"/>
              <w:jc w:val="both"/>
            </w:pPr>
            <w:r w:rsidRPr="0036044B">
              <w:t>a) buget de stat</w:t>
            </w:r>
          </w:p>
        </w:tc>
        <w:tc>
          <w:tcPr>
            <w:tcW w:w="1058" w:type="dxa"/>
          </w:tcPr>
          <w:p w14:paraId="7AD2D601" w14:textId="77777777" w:rsidR="00A75729" w:rsidRPr="0036044B" w:rsidRDefault="00A75729" w:rsidP="0036044B">
            <w:pPr>
              <w:spacing w:after="120"/>
              <w:jc w:val="center"/>
            </w:pPr>
          </w:p>
        </w:tc>
        <w:tc>
          <w:tcPr>
            <w:tcW w:w="1366" w:type="dxa"/>
          </w:tcPr>
          <w:p w14:paraId="0568D044" w14:textId="77777777" w:rsidR="00A75729" w:rsidRPr="0036044B" w:rsidRDefault="00A75729" w:rsidP="0036044B">
            <w:pPr>
              <w:spacing w:after="120"/>
              <w:jc w:val="center"/>
            </w:pPr>
          </w:p>
        </w:tc>
        <w:tc>
          <w:tcPr>
            <w:tcW w:w="1466" w:type="dxa"/>
          </w:tcPr>
          <w:p w14:paraId="210A6366" w14:textId="77777777" w:rsidR="00A75729" w:rsidRPr="0036044B" w:rsidRDefault="00A75729" w:rsidP="0036044B">
            <w:pPr>
              <w:spacing w:after="120"/>
              <w:jc w:val="center"/>
            </w:pPr>
          </w:p>
        </w:tc>
        <w:tc>
          <w:tcPr>
            <w:tcW w:w="1366" w:type="dxa"/>
          </w:tcPr>
          <w:p w14:paraId="2693F75B" w14:textId="77777777" w:rsidR="00A75729" w:rsidRPr="0036044B" w:rsidRDefault="00A75729" w:rsidP="0036044B">
            <w:pPr>
              <w:spacing w:after="120"/>
              <w:jc w:val="center"/>
            </w:pPr>
          </w:p>
        </w:tc>
        <w:tc>
          <w:tcPr>
            <w:tcW w:w="1135" w:type="dxa"/>
          </w:tcPr>
          <w:p w14:paraId="1585137C" w14:textId="77777777" w:rsidR="00A75729" w:rsidRPr="0036044B" w:rsidRDefault="00A75729" w:rsidP="0036044B">
            <w:pPr>
              <w:spacing w:after="120"/>
              <w:jc w:val="center"/>
            </w:pPr>
          </w:p>
        </w:tc>
        <w:tc>
          <w:tcPr>
            <w:tcW w:w="1448" w:type="dxa"/>
          </w:tcPr>
          <w:p w14:paraId="2D494315" w14:textId="77777777" w:rsidR="00A75729" w:rsidRPr="0036044B" w:rsidRDefault="00A75729" w:rsidP="0036044B">
            <w:pPr>
              <w:spacing w:after="120"/>
              <w:jc w:val="center"/>
            </w:pPr>
          </w:p>
        </w:tc>
      </w:tr>
      <w:tr w:rsidR="002B2AD7" w:rsidRPr="0036044B" w14:paraId="3177FEF7" w14:textId="77777777" w:rsidTr="005A13C5">
        <w:tc>
          <w:tcPr>
            <w:tcW w:w="2694" w:type="dxa"/>
          </w:tcPr>
          <w:p w14:paraId="33908C4A" w14:textId="118E34DE" w:rsidR="00A75729" w:rsidRPr="0036044B" w:rsidRDefault="00A75729" w:rsidP="0036044B">
            <w:pPr>
              <w:spacing w:after="120"/>
              <w:jc w:val="both"/>
            </w:pPr>
            <w:r w:rsidRPr="0036044B">
              <w:t>b) bugete locale</w:t>
            </w:r>
          </w:p>
        </w:tc>
        <w:tc>
          <w:tcPr>
            <w:tcW w:w="1058" w:type="dxa"/>
          </w:tcPr>
          <w:p w14:paraId="4B62CC0C" w14:textId="77777777" w:rsidR="00A75729" w:rsidRPr="0036044B" w:rsidRDefault="00A75729" w:rsidP="0036044B">
            <w:pPr>
              <w:spacing w:after="120"/>
              <w:jc w:val="center"/>
            </w:pPr>
          </w:p>
        </w:tc>
        <w:tc>
          <w:tcPr>
            <w:tcW w:w="1366" w:type="dxa"/>
          </w:tcPr>
          <w:p w14:paraId="283AC80B" w14:textId="77777777" w:rsidR="00A75729" w:rsidRPr="0036044B" w:rsidRDefault="00A75729" w:rsidP="0036044B">
            <w:pPr>
              <w:spacing w:after="120"/>
              <w:jc w:val="center"/>
            </w:pPr>
          </w:p>
        </w:tc>
        <w:tc>
          <w:tcPr>
            <w:tcW w:w="1466" w:type="dxa"/>
          </w:tcPr>
          <w:p w14:paraId="7219261C" w14:textId="77777777" w:rsidR="00A75729" w:rsidRPr="0036044B" w:rsidRDefault="00A75729" w:rsidP="0036044B">
            <w:pPr>
              <w:spacing w:after="120"/>
              <w:jc w:val="center"/>
            </w:pPr>
          </w:p>
        </w:tc>
        <w:tc>
          <w:tcPr>
            <w:tcW w:w="1366" w:type="dxa"/>
          </w:tcPr>
          <w:p w14:paraId="49D7F163" w14:textId="77777777" w:rsidR="00A75729" w:rsidRPr="0036044B" w:rsidRDefault="00A75729" w:rsidP="0036044B">
            <w:pPr>
              <w:spacing w:after="120"/>
              <w:jc w:val="center"/>
            </w:pPr>
          </w:p>
        </w:tc>
        <w:tc>
          <w:tcPr>
            <w:tcW w:w="1135" w:type="dxa"/>
          </w:tcPr>
          <w:p w14:paraId="7C544E7C" w14:textId="77777777" w:rsidR="00A75729" w:rsidRPr="0036044B" w:rsidRDefault="00A75729" w:rsidP="0036044B">
            <w:pPr>
              <w:spacing w:after="120"/>
              <w:jc w:val="center"/>
            </w:pPr>
          </w:p>
        </w:tc>
        <w:tc>
          <w:tcPr>
            <w:tcW w:w="1448" w:type="dxa"/>
          </w:tcPr>
          <w:p w14:paraId="4953DDFD" w14:textId="77777777" w:rsidR="00A75729" w:rsidRPr="0036044B" w:rsidRDefault="00A75729" w:rsidP="0036044B">
            <w:pPr>
              <w:spacing w:after="120"/>
              <w:jc w:val="center"/>
            </w:pPr>
          </w:p>
        </w:tc>
      </w:tr>
      <w:tr w:rsidR="002B2AD7" w:rsidRPr="0036044B" w14:paraId="4B985901" w14:textId="77777777" w:rsidTr="005A13C5">
        <w:tc>
          <w:tcPr>
            <w:tcW w:w="2694" w:type="dxa"/>
          </w:tcPr>
          <w:p w14:paraId="41F94191" w14:textId="4D675AF2" w:rsidR="00A75729" w:rsidRPr="0036044B" w:rsidRDefault="00A75729" w:rsidP="0036044B">
            <w:pPr>
              <w:spacing w:after="120"/>
              <w:jc w:val="both"/>
              <w:rPr>
                <w:b/>
                <w:bCs/>
              </w:rPr>
            </w:pPr>
            <w:r w:rsidRPr="0036044B">
              <w:rPr>
                <w:b/>
                <w:bCs/>
              </w:rPr>
              <w:t xml:space="preserve">4.4. Propuneri pentru acoperirea </w:t>
            </w:r>
            <w:proofErr w:type="spellStart"/>
            <w:r w:rsidRPr="0036044B">
              <w:rPr>
                <w:b/>
                <w:bCs/>
              </w:rPr>
              <w:t>creşterii</w:t>
            </w:r>
            <w:proofErr w:type="spellEnd"/>
            <w:r w:rsidRPr="0036044B">
              <w:rPr>
                <w:b/>
                <w:bCs/>
              </w:rPr>
              <w:t xml:space="preserve"> cheltuielilor bugetare</w:t>
            </w:r>
          </w:p>
        </w:tc>
        <w:tc>
          <w:tcPr>
            <w:tcW w:w="1058" w:type="dxa"/>
          </w:tcPr>
          <w:p w14:paraId="12553E7B" w14:textId="77777777" w:rsidR="00A75729" w:rsidRPr="0036044B" w:rsidRDefault="00A75729" w:rsidP="0036044B">
            <w:pPr>
              <w:spacing w:after="120"/>
              <w:jc w:val="center"/>
            </w:pPr>
          </w:p>
        </w:tc>
        <w:tc>
          <w:tcPr>
            <w:tcW w:w="1366" w:type="dxa"/>
          </w:tcPr>
          <w:p w14:paraId="6B4AB040" w14:textId="77777777" w:rsidR="00A75729" w:rsidRPr="0036044B" w:rsidRDefault="00A75729" w:rsidP="0036044B">
            <w:pPr>
              <w:spacing w:after="120"/>
              <w:jc w:val="center"/>
            </w:pPr>
          </w:p>
        </w:tc>
        <w:tc>
          <w:tcPr>
            <w:tcW w:w="1466" w:type="dxa"/>
          </w:tcPr>
          <w:p w14:paraId="2B58709A" w14:textId="77777777" w:rsidR="00A75729" w:rsidRPr="0036044B" w:rsidRDefault="00A75729" w:rsidP="0036044B">
            <w:pPr>
              <w:spacing w:after="120"/>
              <w:jc w:val="center"/>
            </w:pPr>
          </w:p>
        </w:tc>
        <w:tc>
          <w:tcPr>
            <w:tcW w:w="1366" w:type="dxa"/>
          </w:tcPr>
          <w:p w14:paraId="7AE48667" w14:textId="77777777" w:rsidR="00A75729" w:rsidRPr="0036044B" w:rsidRDefault="00A75729" w:rsidP="0036044B">
            <w:pPr>
              <w:spacing w:after="120"/>
              <w:jc w:val="center"/>
            </w:pPr>
          </w:p>
        </w:tc>
        <w:tc>
          <w:tcPr>
            <w:tcW w:w="1135" w:type="dxa"/>
          </w:tcPr>
          <w:p w14:paraId="2C05220B" w14:textId="77777777" w:rsidR="00A75729" w:rsidRPr="0036044B" w:rsidRDefault="00A75729" w:rsidP="0036044B">
            <w:pPr>
              <w:spacing w:after="120"/>
              <w:jc w:val="center"/>
            </w:pPr>
          </w:p>
        </w:tc>
        <w:tc>
          <w:tcPr>
            <w:tcW w:w="1448" w:type="dxa"/>
          </w:tcPr>
          <w:p w14:paraId="5BF7C6F4" w14:textId="77777777" w:rsidR="00A75729" w:rsidRPr="0036044B" w:rsidRDefault="00A75729" w:rsidP="0036044B">
            <w:pPr>
              <w:spacing w:after="120"/>
              <w:jc w:val="center"/>
            </w:pPr>
          </w:p>
        </w:tc>
      </w:tr>
      <w:tr w:rsidR="002B2AD7" w:rsidRPr="0036044B" w14:paraId="0936FEC1" w14:textId="77777777" w:rsidTr="005A13C5">
        <w:tc>
          <w:tcPr>
            <w:tcW w:w="2694" w:type="dxa"/>
          </w:tcPr>
          <w:p w14:paraId="31602873" w14:textId="19763228" w:rsidR="00A75729" w:rsidRPr="0036044B" w:rsidRDefault="00A75729" w:rsidP="0036044B">
            <w:pPr>
              <w:spacing w:after="120"/>
              <w:jc w:val="both"/>
              <w:rPr>
                <w:b/>
                <w:bCs/>
              </w:rPr>
            </w:pPr>
            <w:r w:rsidRPr="0036044B">
              <w:rPr>
                <w:b/>
                <w:bCs/>
              </w:rPr>
              <w:t>4.5. Propuneri pentru a compensa reducerea veniturilor bugetare</w:t>
            </w:r>
          </w:p>
        </w:tc>
        <w:tc>
          <w:tcPr>
            <w:tcW w:w="1058" w:type="dxa"/>
          </w:tcPr>
          <w:p w14:paraId="50FCA196" w14:textId="77777777" w:rsidR="00A75729" w:rsidRPr="0036044B" w:rsidRDefault="00A75729" w:rsidP="0036044B">
            <w:pPr>
              <w:spacing w:after="120"/>
              <w:jc w:val="center"/>
            </w:pPr>
          </w:p>
        </w:tc>
        <w:tc>
          <w:tcPr>
            <w:tcW w:w="1366" w:type="dxa"/>
          </w:tcPr>
          <w:p w14:paraId="06CFE138" w14:textId="77777777" w:rsidR="00A75729" w:rsidRPr="0036044B" w:rsidRDefault="00A75729" w:rsidP="0036044B">
            <w:pPr>
              <w:spacing w:after="120"/>
              <w:jc w:val="center"/>
            </w:pPr>
          </w:p>
        </w:tc>
        <w:tc>
          <w:tcPr>
            <w:tcW w:w="1466" w:type="dxa"/>
          </w:tcPr>
          <w:p w14:paraId="6FFFE022" w14:textId="77777777" w:rsidR="00A75729" w:rsidRPr="0036044B" w:rsidRDefault="00A75729" w:rsidP="0036044B">
            <w:pPr>
              <w:spacing w:after="120"/>
              <w:jc w:val="center"/>
            </w:pPr>
          </w:p>
        </w:tc>
        <w:tc>
          <w:tcPr>
            <w:tcW w:w="1366" w:type="dxa"/>
          </w:tcPr>
          <w:p w14:paraId="46465A6F" w14:textId="77777777" w:rsidR="00A75729" w:rsidRPr="0036044B" w:rsidRDefault="00A75729" w:rsidP="0036044B">
            <w:pPr>
              <w:spacing w:after="120"/>
              <w:jc w:val="center"/>
            </w:pPr>
          </w:p>
        </w:tc>
        <w:tc>
          <w:tcPr>
            <w:tcW w:w="1135" w:type="dxa"/>
          </w:tcPr>
          <w:p w14:paraId="14082553" w14:textId="77777777" w:rsidR="00A75729" w:rsidRPr="0036044B" w:rsidRDefault="00A75729" w:rsidP="0036044B">
            <w:pPr>
              <w:spacing w:after="120"/>
              <w:jc w:val="center"/>
            </w:pPr>
          </w:p>
        </w:tc>
        <w:tc>
          <w:tcPr>
            <w:tcW w:w="1448" w:type="dxa"/>
          </w:tcPr>
          <w:p w14:paraId="178CA231" w14:textId="77777777" w:rsidR="00A75729" w:rsidRPr="0036044B" w:rsidRDefault="00A75729" w:rsidP="0036044B">
            <w:pPr>
              <w:spacing w:after="120"/>
              <w:jc w:val="center"/>
            </w:pPr>
          </w:p>
        </w:tc>
      </w:tr>
      <w:tr w:rsidR="002B2AD7" w:rsidRPr="0036044B" w14:paraId="153D0F09" w14:textId="77777777" w:rsidTr="005A13C5">
        <w:tc>
          <w:tcPr>
            <w:tcW w:w="2694" w:type="dxa"/>
          </w:tcPr>
          <w:p w14:paraId="4E7FCDBB" w14:textId="336B0E28" w:rsidR="00A75729" w:rsidRPr="0036044B" w:rsidRDefault="00A75729" w:rsidP="0036044B">
            <w:pPr>
              <w:spacing w:after="120"/>
              <w:jc w:val="both"/>
              <w:rPr>
                <w:b/>
                <w:bCs/>
              </w:rPr>
            </w:pPr>
            <w:r w:rsidRPr="0036044B">
              <w:rPr>
                <w:b/>
                <w:bCs/>
              </w:rPr>
              <w:t xml:space="preserve">4.6. Calcule detaliate privind fundamentarea modificărilor  veniturilor </w:t>
            </w:r>
            <w:proofErr w:type="spellStart"/>
            <w:r w:rsidRPr="0036044B">
              <w:rPr>
                <w:b/>
                <w:bCs/>
              </w:rPr>
              <w:t>şi</w:t>
            </w:r>
            <w:proofErr w:type="spellEnd"/>
            <w:r w:rsidRPr="0036044B">
              <w:rPr>
                <w:b/>
                <w:bCs/>
              </w:rPr>
              <w:t>/sau cheltuielilor bugetare</w:t>
            </w:r>
          </w:p>
        </w:tc>
        <w:tc>
          <w:tcPr>
            <w:tcW w:w="1058" w:type="dxa"/>
          </w:tcPr>
          <w:p w14:paraId="18046DC1" w14:textId="77777777" w:rsidR="00A75729" w:rsidRPr="0036044B" w:rsidRDefault="00A75729" w:rsidP="0036044B">
            <w:pPr>
              <w:spacing w:after="120"/>
              <w:jc w:val="center"/>
            </w:pPr>
          </w:p>
        </w:tc>
        <w:tc>
          <w:tcPr>
            <w:tcW w:w="1366" w:type="dxa"/>
          </w:tcPr>
          <w:p w14:paraId="7CF35163" w14:textId="77777777" w:rsidR="00A75729" w:rsidRPr="0036044B" w:rsidRDefault="00A75729" w:rsidP="0036044B">
            <w:pPr>
              <w:spacing w:after="120"/>
              <w:jc w:val="center"/>
            </w:pPr>
          </w:p>
        </w:tc>
        <w:tc>
          <w:tcPr>
            <w:tcW w:w="1466" w:type="dxa"/>
          </w:tcPr>
          <w:p w14:paraId="1D863FB9" w14:textId="77777777" w:rsidR="00A75729" w:rsidRPr="0036044B" w:rsidRDefault="00A75729" w:rsidP="0036044B">
            <w:pPr>
              <w:spacing w:after="120"/>
              <w:jc w:val="center"/>
            </w:pPr>
          </w:p>
        </w:tc>
        <w:tc>
          <w:tcPr>
            <w:tcW w:w="1366" w:type="dxa"/>
          </w:tcPr>
          <w:p w14:paraId="42476051" w14:textId="77777777" w:rsidR="00A75729" w:rsidRPr="0036044B" w:rsidRDefault="00A75729" w:rsidP="0036044B">
            <w:pPr>
              <w:spacing w:after="120"/>
              <w:jc w:val="center"/>
            </w:pPr>
          </w:p>
        </w:tc>
        <w:tc>
          <w:tcPr>
            <w:tcW w:w="1135" w:type="dxa"/>
          </w:tcPr>
          <w:p w14:paraId="4746E189" w14:textId="77777777" w:rsidR="00A75729" w:rsidRPr="0036044B" w:rsidRDefault="00A75729" w:rsidP="0036044B">
            <w:pPr>
              <w:spacing w:after="120"/>
              <w:jc w:val="center"/>
            </w:pPr>
          </w:p>
        </w:tc>
        <w:tc>
          <w:tcPr>
            <w:tcW w:w="1448" w:type="dxa"/>
          </w:tcPr>
          <w:p w14:paraId="05472402" w14:textId="77777777" w:rsidR="00A75729" w:rsidRPr="0036044B" w:rsidRDefault="00A75729" w:rsidP="0036044B">
            <w:pPr>
              <w:spacing w:after="120"/>
              <w:jc w:val="center"/>
            </w:pPr>
          </w:p>
        </w:tc>
      </w:tr>
      <w:tr w:rsidR="002B2AD7" w:rsidRPr="0036044B" w14:paraId="260B3CE9" w14:textId="77777777" w:rsidTr="006A42CB">
        <w:tc>
          <w:tcPr>
            <w:tcW w:w="10533" w:type="dxa"/>
            <w:gridSpan w:val="7"/>
          </w:tcPr>
          <w:p w14:paraId="38A65360" w14:textId="7BB19CF9" w:rsidR="00A75729" w:rsidRPr="0036044B" w:rsidRDefault="00A75729" w:rsidP="0036044B">
            <w:pPr>
              <w:spacing w:after="120"/>
              <w:jc w:val="both"/>
              <w:rPr>
                <w:b/>
                <w:bCs/>
              </w:rPr>
            </w:pPr>
            <w:r w:rsidRPr="0036044B">
              <w:rPr>
                <w:b/>
                <w:bCs/>
              </w:rPr>
              <w:t>4.7. Prezentarea, în cazul proiectelor de acte normative</w:t>
            </w:r>
            <w:r w:rsidR="00A60FAE" w:rsidRPr="0036044B">
              <w:rPr>
                <w:b/>
                <w:bCs/>
              </w:rPr>
              <w:t xml:space="preserve"> a căror adaptare atrage majorarea cheltuielilor bugetare, a următoarelor documente:</w:t>
            </w:r>
          </w:p>
          <w:p w14:paraId="67DFFAEF" w14:textId="350B0C6A" w:rsidR="00A60FAE" w:rsidRPr="0036044B" w:rsidRDefault="00A60FAE" w:rsidP="0036044B">
            <w:pPr>
              <w:spacing w:after="120"/>
              <w:jc w:val="both"/>
            </w:pPr>
            <w:r w:rsidRPr="0036044B">
              <w:t>a) fișa financiară prevăzută la art. 15 din Legea nr. 500/2002 privind finanțele publice, cu modificările și completările ulterioare, însoțită de ipotezele și metodologia de calcul utilizată;</w:t>
            </w:r>
          </w:p>
          <w:p w14:paraId="699F79A9" w14:textId="3858F0A9" w:rsidR="00A60FAE" w:rsidRPr="0036044B" w:rsidRDefault="00A60FAE" w:rsidP="0036044B">
            <w:pPr>
              <w:spacing w:after="120"/>
              <w:jc w:val="both"/>
            </w:pPr>
            <w:r w:rsidRPr="0036044B">
              <w:t xml:space="preserve">b) declarație conform căreia majorarea de cheltuială respectivă este compatibilă cu obiectivele și prioritățile strategice specificate în strategia fiscal-bugetară, cu legea bugetară anuală și cu plafoanele </w:t>
            </w:r>
            <w:r w:rsidR="00A82648" w:rsidRPr="0036044B">
              <w:t xml:space="preserve">de cheltuieli </w:t>
            </w:r>
            <w:r w:rsidRPr="0036044B">
              <w:t>prezentate în strategia fiscal-bugetară.</w:t>
            </w:r>
          </w:p>
        </w:tc>
      </w:tr>
      <w:tr w:rsidR="002B2AD7" w:rsidRPr="0036044B" w14:paraId="675CE50B" w14:textId="77777777" w:rsidTr="00D72556">
        <w:tc>
          <w:tcPr>
            <w:tcW w:w="10533" w:type="dxa"/>
            <w:gridSpan w:val="7"/>
          </w:tcPr>
          <w:p w14:paraId="64B74EF4" w14:textId="78DB6F8A" w:rsidR="00B4537B" w:rsidRPr="0036044B" w:rsidRDefault="00B4537B" w:rsidP="0036044B">
            <w:pPr>
              <w:spacing w:after="120"/>
              <w:rPr>
                <w:b/>
                <w:bCs/>
                <w:noProof/>
              </w:rPr>
            </w:pPr>
            <w:r w:rsidRPr="0036044B">
              <w:rPr>
                <w:b/>
                <w:bCs/>
                <w:noProof/>
              </w:rPr>
              <w:t>4.8. Alte informații</w:t>
            </w:r>
          </w:p>
        </w:tc>
      </w:tr>
    </w:tbl>
    <w:p w14:paraId="2F7ACEA9" w14:textId="244FFF1C" w:rsidR="003864F6" w:rsidRPr="0036044B" w:rsidRDefault="00670C79" w:rsidP="0036044B">
      <w:pPr>
        <w:spacing w:after="120"/>
        <w:jc w:val="both"/>
        <w:rPr>
          <w:b/>
        </w:rPr>
      </w:pPr>
      <w:r w:rsidRPr="0036044B">
        <w:rPr>
          <w:b/>
        </w:rPr>
        <w:t xml:space="preserve">   </w:t>
      </w:r>
    </w:p>
    <w:p w14:paraId="777ED2E4" w14:textId="77777777" w:rsidR="00B4537B" w:rsidRPr="0036044B" w:rsidRDefault="00670C79" w:rsidP="0036044B">
      <w:pPr>
        <w:spacing w:after="120"/>
        <w:ind w:firstLine="720"/>
        <w:jc w:val="both"/>
        <w:rPr>
          <w:b/>
        </w:rPr>
      </w:pPr>
      <w:proofErr w:type="spellStart"/>
      <w:r w:rsidRPr="0036044B">
        <w:rPr>
          <w:b/>
        </w:rPr>
        <w:t>Secţiunea</w:t>
      </w:r>
      <w:proofErr w:type="spellEnd"/>
      <w:r w:rsidRPr="0036044B">
        <w:rPr>
          <w:b/>
        </w:rPr>
        <w:t xml:space="preserve"> a 5-a </w:t>
      </w:r>
    </w:p>
    <w:p w14:paraId="7E1BCAF6" w14:textId="576D5D21" w:rsidR="00670C79" w:rsidRPr="0036044B" w:rsidRDefault="00670C79" w:rsidP="0036044B">
      <w:pPr>
        <w:spacing w:after="120"/>
        <w:ind w:firstLine="720"/>
        <w:jc w:val="both"/>
        <w:rPr>
          <w:b/>
        </w:rPr>
      </w:pPr>
      <w:r w:rsidRPr="0036044B">
        <w:rPr>
          <w:b/>
        </w:rPr>
        <w:t xml:space="preserve">Efectele proiectului de act normativ asupra </w:t>
      </w:r>
      <w:proofErr w:type="spellStart"/>
      <w:r w:rsidRPr="0036044B">
        <w:rPr>
          <w:b/>
        </w:rPr>
        <w:t>legislaţiei</w:t>
      </w:r>
      <w:proofErr w:type="spellEnd"/>
      <w:r w:rsidRPr="0036044B">
        <w:rPr>
          <w:b/>
        </w:rPr>
        <w:t xml:space="preserve"> în vigoare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2B2AD7" w:rsidRPr="0036044B" w14:paraId="327176B4" w14:textId="77777777" w:rsidTr="00B400EE">
        <w:trPr>
          <w:trHeight w:val="561"/>
        </w:trPr>
        <w:tc>
          <w:tcPr>
            <w:tcW w:w="10533" w:type="dxa"/>
          </w:tcPr>
          <w:p w14:paraId="4F9076D7" w14:textId="407D2D2C" w:rsidR="00973701" w:rsidRPr="0036044B" w:rsidRDefault="00973701" w:rsidP="0036044B">
            <w:pPr>
              <w:spacing w:after="120"/>
              <w:jc w:val="both"/>
              <w:rPr>
                <w:b/>
                <w:bCs/>
              </w:rPr>
            </w:pPr>
            <w:r w:rsidRPr="0036044B">
              <w:rPr>
                <w:b/>
                <w:bCs/>
              </w:rPr>
              <w:t>5.1. Măsuri normative necesare pentru aplicarea prevederilor proiectului de act normativ</w:t>
            </w:r>
          </w:p>
          <w:p w14:paraId="1168B862" w14:textId="30DCBC6C" w:rsidR="009545F6" w:rsidRPr="0036044B" w:rsidRDefault="009545F6" w:rsidP="0036044B">
            <w:pPr>
              <w:pStyle w:val="CommentText"/>
              <w:ind w:left="720"/>
              <w:jc w:val="both"/>
              <w:rPr>
                <w:sz w:val="24"/>
                <w:szCs w:val="24"/>
              </w:rPr>
            </w:pPr>
          </w:p>
          <w:p w14:paraId="79B335E6" w14:textId="7C87FE32" w:rsidR="00973701" w:rsidRPr="0036044B" w:rsidRDefault="00973701" w:rsidP="0036044B">
            <w:pPr>
              <w:tabs>
                <w:tab w:val="left" w:pos="201"/>
              </w:tabs>
              <w:spacing w:after="120"/>
              <w:jc w:val="both"/>
              <w:rPr>
                <w:b/>
                <w:bCs/>
              </w:rPr>
            </w:pPr>
            <w:r w:rsidRPr="0036044B">
              <w:rPr>
                <w:b/>
                <w:bCs/>
              </w:rPr>
              <w:t>5.2. Impactul asupra legislației în domeniul achizițiilor publice</w:t>
            </w:r>
          </w:p>
          <w:p w14:paraId="4B73375D" w14:textId="77777777" w:rsidR="0008730B" w:rsidRPr="0036044B" w:rsidRDefault="0008730B" w:rsidP="0036044B">
            <w:pPr>
              <w:tabs>
                <w:tab w:val="left" w:pos="201"/>
              </w:tabs>
              <w:spacing w:after="120"/>
              <w:jc w:val="both"/>
              <w:rPr>
                <w:b/>
                <w:bCs/>
              </w:rPr>
            </w:pPr>
          </w:p>
          <w:p w14:paraId="3CE6B9A6" w14:textId="1FF66AFD" w:rsidR="00973701" w:rsidRPr="0036044B" w:rsidRDefault="00973701" w:rsidP="0036044B">
            <w:pPr>
              <w:tabs>
                <w:tab w:val="left" w:pos="201"/>
              </w:tabs>
              <w:spacing w:after="120"/>
              <w:jc w:val="both"/>
              <w:rPr>
                <w:b/>
                <w:bCs/>
              </w:rPr>
            </w:pPr>
            <w:r w:rsidRPr="0036044B">
              <w:rPr>
                <w:b/>
                <w:bCs/>
              </w:rPr>
              <w:t xml:space="preserve">5.3. Conformitatea  proiectului de act normativ cu </w:t>
            </w:r>
            <w:proofErr w:type="spellStart"/>
            <w:r w:rsidRPr="0036044B">
              <w:rPr>
                <w:b/>
                <w:bCs/>
              </w:rPr>
              <w:t>legislaţia</w:t>
            </w:r>
            <w:proofErr w:type="spellEnd"/>
            <w:r w:rsidRPr="0036044B">
              <w:rPr>
                <w:b/>
                <w:bCs/>
              </w:rPr>
              <w:t xml:space="preserve"> UE (în cazul proiectelor ce transpun sau asigură aplicarea unor prevederi de drept UE)</w:t>
            </w:r>
          </w:p>
          <w:p w14:paraId="09158D06" w14:textId="7EEBFF96" w:rsidR="00973701" w:rsidRPr="0036044B" w:rsidRDefault="00973701" w:rsidP="0036044B">
            <w:pPr>
              <w:tabs>
                <w:tab w:val="left" w:pos="201"/>
              </w:tabs>
              <w:spacing w:after="120"/>
              <w:jc w:val="both"/>
              <w:rPr>
                <w:b/>
                <w:bCs/>
              </w:rPr>
            </w:pPr>
            <w:r w:rsidRPr="0036044B">
              <w:rPr>
                <w:b/>
                <w:bCs/>
              </w:rPr>
              <w:t>5.3.1. Măsuri normative necesare transpunerii directivelor UE</w:t>
            </w:r>
          </w:p>
          <w:p w14:paraId="4087DBF1" w14:textId="712974EB" w:rsidR="00973701" w:rsidRPr="0036044B" w:rsidRDefault="00674D58" w:rsidP="0036044B">
            <w:pPr>
              <w:tabs>
                <w:tab w:val="left" w:pos="201"/>
              </w:tabs>
              <w:spacing w:after="120"/>
              <w:jc w:val="both"/>
              <w:rPr>
                <w:b/>
                <w:bCs/>
              </w:rPr>
            </w:pPr>
            <w:r w:rsidRPr="0036044B">
              <w:rPr>
                <w:b/>
                <w:bCs/>
              </w:rPr>
              <w:t>5.3.2. Măsuri normative necesare aplicării actelor legislative UE</w:t>
            </w:r>
          </w:p>
          <w:p w14:paraId="1292063A" w14:textId="254BC23D" w:rsidR="002623AD" w:rsidRPr="0036044B" w:rsidRDefault="00674D58" w:rsidP="0036044B">
            <w:pPr>
              <w:tabs>
                <w:tab w:val="left" w:pos="201"/>
              </w:tabs>
              <w:spacing w:after="120"/>
              <w:jc w:val="both"/>
              <w:rPr>
                <w:b/>
                <w:bCs/>
              </w:rPr>
            </w:pPr>
            <w:r w:rsidRPr="0036044B">
              <w:rPr>
                <w:b/>
                <w:bCs/>
              </w:rPr>
              <w:t xml:space="preserve">5.4. Hotărâri ale </w:t>
            </w:r>
            <w:proofErr w:type="spellStart"/>
            <w:r w:rsidRPr="0036044B">
              <w:rPr>
                <w:b/>
                <w:bCs/>
              </w:rPr>
              <w:t>Curţii</w:t>
            </w:r>
            <w:proofErr w:type="spellEnd"/>
            <w:r w:rsidRPr="0036044B">
              <w:rPr>
                <w:b/>
                <w:bCs/>
              </w:rPr>
              <w:t xml:space="preserve"> de </w:t>
            </w:r>
            <w:proofErr w:type="spellStart"/>
            <w:r w:rsidRPr="0036044B">
              <w:rPr>
                <w:b/>
                <w:bCs/>
              </w:rPr>
              <w:t>Justiţie</w:t>
            </w:r>
            <w:proofErr w:type="spellEnd"/>
            <w:r w:rsidRPr="0036044B">
              <w:rPr>
                <w:b/>
                <w:bCs/>
              </w:rPr>
              <w:t xml:space="preserve"> a Uniunii Europene</w:t>
            </w:r>
            <w:r w:rsidR="002623AD" w:rsidRPr="0036044B">
              <w:rPr>
                <w:b/>
                <w:bCs/>
              </w:rPr>
              <w:t xml:space="preserve"> </w:t>
            </w:r>
            <w:r w:rsidR="0008730B" w:rsidRPr="0036044B">
              <w:rPr>
                <w:b/>
                <w:bCs/>
              </w:rPr>
              <w:t>–</w:t>
            </w:r>
            <w:r w:rsidR="002623AD" w:rsidRPr="0036044B">
              <w:rPr>
                <w:b/>
                <w:bCs/>
              </w:rPr>
              <w:t xml:space="preserve"> </w:t>
            </w:r>
          </w:p>
          <w:p w14:paraId="6410C1B3" w14:textId="4D731C69" w:rsidR="0008730B" w:rsidRPr="0036044B" w:rsidRDefault="00674D58" w:rsidP="0036044B">
            <w:pPr>
              <w:tabs>
                <w:tab w:val="left" w:pos="201"/>
              </w:tabs>
              <w:spacing w:after="120"/>
              <w:jc w:val="both"/>
              <w:rPr>
                <w:b/>
                <w:bCs/>
              </w:rPr>
            </w:pPr>
            <w:r w:rsidRPr="0036044B">
              <w:rPr>
                <w:b/>
                <w:bCs/>
              </w:rPr>
              <w:lastRenderedPageBreak/>
              <w:t xml:space="preserve">5.5. Alte acte normative </w:t>
            </w:r>
            <w:proofErr w:type="spellStart"/>
            <w:r w:rsidRPr="0036044B">
              <w:rPr>
                <w:b/>
                <w:bCs/>
              </w:rPr>
              <w:t>şi</w:t>
            </w:r>
            <w:proofErr w:type="spellEnd"/>
            <w:r w:rsidRPr="0036044B">
              <w:rPr>
                <w:b/>
                <w:bCs/>
              </w:rPr>
              <w:t xml:space="preserve">/sau documente </w:t>
            </w:r>
            <w:proofErr w:type="spellStart"/>
            <w:r w:rsidRPr="0036044B">
              <w:rPr>
                <w:b/>
                <w:bCs/>
              </w:rPr>
              <w:t>internaţionale</w:t>
            </w:r>
            <w:proofErr w:type="spellEnd"/>
            <w:r w:rsidRPr="0036044B">
              <w:rPr>
                <w:b/>
                <w:bCs/>
              </w:rPr>
              <w:t xml:space="preserve"> din care decurg angajamente asumate</w:t>
            </w:r>
            <w:r w:rsidR="002623AD" w:rsidRPr="0036044B">
              <w:rPr>
                <w:b/>
                <w:bCs/>
              </w:rPr>
              <w:t xml:space="preserve"> </w:t>
            </w:r>
            <w:r w:rsidR="0008730B" w:rsidRPr="0036044B">
              <w:rPr>
                <w:b/>
                <w:bCs/>
              </w:rPr>
              <w:t>–</w:t>
            </w:r>
            <w:r w:rsidR="002623AD" w:rsidRPr="0036044B">
              <w:rPr>
                <w:b/>
                <w:bCs/>
              </w:rPr>
              <w:t xml:space="preserve"> </w:t>
            </w:r>
          </w:p>
          <w:p w14:paraId="7C430706" w14:textId="63915D44" w:rsidR="00973701" w:rsidRPr="0036044B" w:rsidRDefault="00674D58" w:rsidP="0036044B">
            <w:pPr>
              <w:tabs>
                <w:tab w:val="left" w:pos="201"/>
              </w:tabs>
              <w:spacing w:after="120"/>
              <w:jc w:val="both"/>
            </w:pPr>
            <w:r w:rsidRPr="0036044B">
              <w:rPr>
                <w:b/>
                <w:bCs/>
              </w:rPr>
              <w:t>5.6. Alte informații</w:t>
            </w:r>
          </w:p>
        </w:tc>
      </w:tr>
    </w:tbl>
    <w:p w14:paraId="6F04DAD9" w14:textId="67D209D3" w:rsidR="00BB0782" w:rsidRPr="0036044B" w:rsidRDefault="00DB715E" w:rsidP="00961D3B">
      <w:pPr>
        <w:spacing w:after="120"/>
        <w:rPr>
          <w:b/>
        </w:rPr>
      </w:pPr>
      <w:r w:rsidRPr="0036044B">
        <w:rPr>
          <w:b/>
        </w:rPr>
        <w:lastRenderedPageBreak/>
        <w:t xml:space="preserve">   </w:t>
      </w:r>
      <w:r w:rsidR="00BB0782" w:rsidRPr="0036044B">
        <w:rPr>
          <w:b/>
        </w:rPr>
        <w:t>Secțiunea a 6-a</w:t>
      </w:r>
    </w:p>
    <w:p w14:paraId="4113E59E" w14:textId="59419D76" w:rsidR="00670C79" w:rsidRPr="0036044B" w:rsidRDefault="00670C79" w:rsidP="0036044B">
      <w:pPr>
        <w:spacing w:after="120"/>
        <w:ind w:firstLine="720"/>
        <w:rPr>
          <w:b/>
        </w:rPr>
      </w:pPr>
      <w:r w:rsidRPr="0036044B">
        <w:rPr>
          <w:b/>
        </w:rPr>
        <w:t>Consultările efectuate în vederea elaborării proiectului de act normativ</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2B2AD7" w:rsidRPr="0036044B" w14:paraId="5EB7CDBC" w14:textId="77777777" w:rsidTr="00096014">
        <w:tc>
          <w:tcPr>
            <w:tcW w:w="10533" w:type="dxa"/>
          </w:tcPr>
          <w:p w14:paraId="598B642C" w14:textId="50A84CE9" w:rsidR="00770E01" w:rsidRPr="0036044B" w:rsidRDefault="00770E01" w:rsidP="0036044B">
            <w:pPr>
              <w:spacing w:after="120"/>
              <w:jc w:val="both"/>
              <w:rPr>
                <w:b/>
                <w:bCs/>
              </w:rPr>
            </w:pPr>
            <w:r w:rsidRPr="0036044B">
              <w:rPr>
                <w:b/>
                <w:bCs/>
              </w:rPr>
              <w:t>6.1. Informații privind neaplicarea procedurii de participare la elaborarea actelor normative</w:t>
            </w:r>
          </w:p>
          <w:p w14:paraId="0B61431A" w14:textId="692060C1" w:rsidR="00770E01" w:rsidRPr="0036044B" w:rsidRDefault="00770E01" w:rsidP="0036044B">
            <w:pPr>
              <w:spacing w:after="120"/>
              <w:jc w:val="both"/>
              <w:rPr>
                <w:b/>
                <w:bCs/>
              </w:rPr>
            </w:pPr>
            <w:r w:rsidRPr="0036044B">
              <w:rPr>
                <w:b/>
                <w:bCs/>
              </w:rPr>
              <w:t xml:space="preserve">6.2. </w:t>
            </w:r>
            <w:proofErr w:type="spellStart"/>
            <w:r w:rsidRPr="0036044B">
              <w:rPr>
                <w:b/>
                <w:bCs/>
              </w:rPr>
              <w:t>Informaţii</w:t>
            </w:r>
            <w:proofErr w:type="spellEnd"/>
            <w:r w:rsidRPr="0036044B">
              <w:rPr>
                <w:b/>
                <w:bCs/>
              </w:rPr>
              <w:t xml:space="preserve"> privind procesul de consultare cu </w:t>
            </w:r>
            <w:proofErr w:type="spellStart"/>
            <w:r w:rsidRPr="0036044B">
              <w:rPr>
                <w:b/>
                <w:bCs/>
              </w:rPr>
              <w:t>organizaţii</w:t>
            </w:r>
            <w:proofErr w:type="spellEnd"/>
            <w:r w:rsidRPr="0036044B">
              <w:rPr>
                <w:b/>
                <w:bCs/>
              </w:rPr>
              <w:t xml:space="preserve"> neguvernamentale, institute de cercetare </w:t>
            </w:r>
            <w:proofErr w:type="spellStart"/>
            <w:r w:rsidRPr="0036044B">
              <w:rPr>
                <w:b/>
                <w:bCs/>
              </w:rPr>
              <w:t>şi</w:t>
            </w:r>
            <w:proofErr w:type="spellEnd"/>
            <w:r w:rsidRPr="0036044B">
              <w:rPr>
                <w:b/>
                <w:bCs/>
              </w:rPr>
              <w:t xml:space="preserve"> alte organisme implicate</w:t>
            </w:r>
          </w:p>
          <w:p w14:paraId="2BABECC5" w14:textId="096AE366" w:rsidR="00926ABC" w:rsidRPr="0036044B" w:rsidRDefault="00770E01" w:rsidP="0036044B">
            <w:pPr>
              <w:spacing w:after="120"/>
              <w:jc w:val="both"/>
              <w:rPr>
                <w:b/>
                <w:bCs/>
              </w:rPr>
            </w:pPr>
            <w:r w:rsidRPr="0036044B">
              <w:rPr>
                <w:b/>
                <w:bCs/>
              </w:rPr>
              <w:t>6.3. Informații despre consultările organizate cu autoritățile administrației publice locale</w:t>
            </w:r>
          </w:p>
          <w:p w14:paraId="277694A9" w14:textId="77777777" w:rsidR="00333084" w:rsidRPr="0036044B" w:rsidRDefault="00333084" w:rsidP="0036044B">
            <w:pPr>
              <w:spacing w:after="120"/>
              <w:jc w:val="both"/>
            </w:pPr>
            <w:r w:rsidRPr="0036044B">
              <w:t xml:space="preserve">A fost realizată procedura de consultare în conformitate cu prevederile Ordonanței de urgență a Guvernului nr. 57/2019 privind Codul administrativ, cu completările ulterioare, precum și ale Hotărârii Guvernului nr. 635/2022 privind procedura de consultare a structurilor asociative ale </w:t>
            </w:r>
            <w:proofErr w:type="spellStart"/>
            <w:r w:rsidRPr="0036044B">
              <w:t>autorităţilor</w:t>
            </w:r>
            <w:proofErr w:type="spellEnd"/>
            <w:r w:rsidRPr="0036044B">
              <w:t xml:space="preserve"> </w:t>
            </w:r>
            <w:proofErr w:type="spellStart"/>
            <w:r w:rsidRPr="0036044B">
              <w:t>administraţiei</w:t>
            </w:r>
            <w:proofErr w:type="spellEnd"/>
            <w:r w:rsidRPr="0036044B">
              <w:t xml:space="preserve"> publice locale la elaborarea proiectelor de acte normative.</w:t>
            </w:r>
          </w:p>
          <w:p w14:paraId="64A2734E" w14:textId="5C5D766B" w:rsidR="00333084" w:rsidRPr="00221126" w:rsidRDefault="00333084" w:rsidP="0036044B">
            <w:pPr>
              <w:spacing w:after="120"/>
              <w:jc w:val="both"/>
            </w:pPr>
            <w:r w:rsidRPr="0036044B">
              <w:t>Proiectul de act normativ a fost transmis pentru consultare structurilor asociative ale autorităților administrației publice locale, solicitându-se  punct de vedere de la Asociația Comunelor din România, Asociația Municipiilor din România, Asociația Orașelor din România, respectiv de la Uniunea Națională a Consiliilor Județene din România.</w:t>
            </w:r>
          </w:p>
          <w:p w14:paraId="53F02791" w14:textId="33A0463B" w:rsidR="00770E01" w:rsidRPr="0036044B" w:rsidRDefault="00770E01" w:rsidP="0036044B">
            <w:pPr>
              <w:spacing w:after="120"/>
              <w:jc w:val="both"/>
              <w:rPr>
                <w:b/>
                <w:bCs/>
              </w:rPr>
            </w:pPr>
            <w:r w:rsidRPr="0036044B">
              <w:rPr>
                <w:b/>
                <w:bCs/>
              </w:rPr>
              <w:t xml:space="preserve">6.4. Informații privind puncte de vedere/opinii emise de organisme </w:t>
            </w:r>
            <w:proofErr w:type="spellStart"/>
            <w:r w:rsidRPr="0036044B">
              <w:rPr>
                <w:b/>
                <w:bCs/>
              </w:rPr>
              <w:t>consulative</w:t>
            </w:r>
            <w:proofErr w:type="spellEnd"/>
            <w:r w:rsidRPr="0036044B">
              <w:rPr>
                <w:b/>
                <w:bCs/>
              </w:rPr>
              <w:t xml:space="preserve"> constituite prin acte normative</w:t>
            </w:r>
          </w:p>
          <w:p w14:paraId="0FF572CC" w14:textId="733196DE" w:rsidR="00770E01" w:rsidRPr="0036044B" w:rsidRDefault="00770E01" w:rsidP="0036044B">
            <w:pPr>
              <w:spacing w:after="120"/>
              <w:jc w:val="both"/>
              <w:rPr>
                <w:b/>
                <w:bCs/>
              </w:rPr>
            </w:pPr>
            <w:r w:rsidRPr="0036044B">
              <w:rPr>
                <w:b/>
                <w:bCs/>
              </w:rPr>
              <w:t>6.5</w:t>
            </w:r>
            <w:r w:rsidR="004555DD" w:rsidRPr="0036044B">
              <w:rPr>
                <w:b/>
                <w:bCs/>
              </w:rPr>
              <w:t>.</w:t>
            </w:r>
            <w:r w:rsidRPr="0036044B">
              <w:rPr>
                <w:b/>
                <w:bCs/>
              </w:rPr>
              <w:t xml:space="preserve"> Informații privind avizarea de către:</w:t>
            </w:r>
          </w:p>
          <w:p w14:paraId="3DD2ED4C" w14:textId="434A7742" w:rsidR="00770E01" w:rsidRPr="0036044B" w:rsidRDefault="00770E01" w:rsidP="0036044B">
            <w:pPr>
              <w:spacing w:after="120"/>
              <w:jc w:val="both"/>
            </w:pPr>
            <w:r w:rsidRPr="0036044B">
              <w:t xml:space="preserve">a) Consiliul </w:t>
            </w:r>
            <w:r w:rsidR="008F6907" w:rsidRPr="0036044B">
              <w:t>L</w:t>
            </w:r>
            <w:r w:rsidRPr="0036044B">
              <w:t>egislativ</w:t>
            </w:r>
          </w:p>
          <w:p w14:paraId="782E1FCE" w14:textId="1D3F1A42" w:rsidR="00770E01" w:rsidRPr="0036044B" w:rsidRDefault="00770E01" w:rsidP="0036044B">
            <w:pPr>
              <w:spacing w:after="120"/>
              <w:jc w:val="both"/>
            </w:pPr>
            <w:r w:rsidRPr="0036044B">
              <w:t>d)</w:t>
            </w:r>
            <w:r w:rsidR="00456611" w:rsidRPr="0036044B">
              <w:t xml:space="preserve"> </w:t>
            </w:r>
            <w:r w:rsidRPr="0036044B">
              <w:t xml:space="preserve">Consiliul </w:t>
            </w:r>
            <w:proofErr w:type="spellStart"/>
            <w:r w:rsidRPr="0036044B">
              <w:t>Concurenţei</w:t>
            </w:r>
            <w:proofErr w:type="spellEnd"/>
            <w:r w:rsidRPr="0036044B">
              <w:t xml:space="preserve"> </w:t>
            </w:r>
          </w:p>
          <w:p w14:paraId="7E62C2BF" w14:textId="139E72B8" w:rsidR="00770E01" w:rsidRPr="0036044B" w:rsidRDefault="00770E01" w:rsidP="0036044B">
            <w:pPr>
              <w:spacing w:after="120"/>
              <w:jc w:val="both"/>
            </w:pPr>
            <w:r w:rsidRPr="0036044B">
              <w:t>e)</w:t>
            </w:r>
            <w:r w:rsidR="00456611" w:rsidRPr="0036044B">
              <w:t xml:space="preserve"> </w:t>
            </w:r>
            <w:r w:rsidRPr="0036044B">
              <w:t>Curtea de Conturi</w:t>
            </w:r>
          </w:p>
          <w:p w14:paraId="64B8540D" w14:textId="6AD7B7DF" w:rsidR="005A57E5" w:rsidRPr="0036044B" w:rsidRDefault="005A57E5" w:rsidP="0036044B">
            <w:pPr>
              <w:jc w:val="both"/>
            </w:pPr>
            <w:r w:rsidRPr="0036044B">
              <w:t xml:space="preserve">Prezentul proiect de act normativ este supus avizării Consiliului Legislativ și s-a solicitat punctul de vedere al Consiliului </w:t>
            </w:r>
            <w:proofErr w:type="spellStart"/>
            <w:r w:rsidRPr="0036044B">
              <w:t>Concurenţei</w:t>
            </w:r>
            <w:proofErr w:type="spellEnd"/>
            <w:r w:rsidRPr="0036044B">
              <w:t xml:space="preserve">, </w:t>
            </w:r>
            <w:r w:rsidR="00913C98" w:rsidRPr="0036044B">
              <w:t>Ministerului Afacerilor Externe,</w:t>
            </w:r>
            <w:r w:rsidRPr="0036044B">
              <w:t xml:space="preserve"> Curții de Conturi și al Autorității de Audit din cadrul Curții de Conturi</w:t>
            </w:r>
            <w:r w:rsidR="00044D39" w:rsidRPr="0036044B">
              <w:t>, Agenția Națională de Integritate, Direcția Națională Anticorupție, Parchetul de pe lângă Înalta Curte de Casație și Justiție, Departamentul pentru Lupta Antifraudă</w:t>
            </w:r>
            <w:r w:rsidR="00730DF6">
              <w:t xml:space="preserve">, </w:t>
            </w:r>
            <w:r w:rsidR="00730DF6" w:rsidRPr="00730DF6">
              <w:t xml:space="preserve">Autoritatea </w:t>
            </w:r>
            <w:proofErr w:type="spellStart"/>
            <w:r w:rsidR="00730DF6" w:rsidRPr="00730DF6">
              <w:t>Naţională</w:t>
            </w:r>
            <w:proofErr w:type="spellEnd"/>
            <w:r w:rsidR="00730DF6" w:rsidRPr="00730DF6">
              <w:t xml:space="preserve"> pentru Administrare </w:t>
            </w:r>
            <w:proofErr w:type="spellStart"/>
            <w:r w:rsidR="00730DF6" w:rsidRPr="00730DF6">
              <w:t>şi</w:t>
            </w:r>
            <w:proofErr w:type="spellEnd"/>
            <w:r w:rsidR="00730DF6" w:rsidRPr="00730DF6">
              <w:t xml:space="preserve"> Reglementare în </w:t>
            </w:r>
            <w:proofErr w:type="spellStart"/>
            <w:r w:rsidR="00730DF6" w:rsidRPr="00730DF6">
              <w:t>Comunicaţii</w:t>
            </w:r>
            <w:proofErr w:type="spellEnd"/>
            <w:r w:rsidRPr="0036044B">
              <w:t>.</w:t>
            </w:r>
          </w:p>
          <w:p w14:paraId="32E03757" w14:textId="29DADBD9" w:rsidR="00770E01" w:rsidRPr="0036044B" w:rsidRDefault="00770E01" w:rsidP="0036044B">
            <w:pPr>
              <w:spacing w:after="120"/>
              <w:jc w:val="both"/>
              <w:rPr>
                <w:b/>
                <w:bCs/>
              </w:rPr>
            </w:pPr>
            <w:r w:rsidRPr="0036044B">
              <w:rPr>
                <w:b/>
                <w:bCs/>
              </w:rPr>
              <w:t>6.6. Alte informații</w:t>
            </w:r>
          </w:p>
        </w:tc>
      </w:tr>
    </w:tbl>
    <w:p w14:paraId="311858C9" w14:textId="77777777" w:rsidR="00770E01" w:rsidRPr="0036044B" w:rsidRDefault="00670C79" w:rsidP="0036044B">
      <w:pPr>
        <w:pStyle w:val="BodyTextIndent2"/>
        <w:spacing w:before="0" w:line="240" w:lineRule="auto"/>
        <w:ind w:left="180" w:right="98" w:firstLine="540"/>
        <w:jc w:val="both"/>
        <w:rPr>
          <w:bCs w:val="0"/>
          <w:sz w:val="24"/>
        </w:rPr>
      </w:pPr>
      <w:proofErr w:type="spellStart"/>
      <w:r w:rsidRPr="0036044B">
        <w:rPr>
          <w:bCs w:val="0"/>
          <w:sz w:val="24"/>
        </w:rPr>
        <w:t>Secţiunea</w:t>
      </w:r>
      <w:proofErr w:type="spellEnd"/>
      <w:r w:rsidRPr="0036044B">
        <w:rPr>
          <w:bCs w:val="0"/>
          <w:sz w:val="24"/>
        </w:rPr>
        <w:t xml:space="preserve"> a 7-a  </w:t>
      </w:r>
    </w:p>
    <w:p w14:paraId="45DA67B7" w14:textId="070DA24F" w:rsidR="00260E13" w:rsidRPr="0036044B" w:rsidRDefault="00670C79" w:rsidP="0036044B">
      <w:pPr>
        <w:pStyle w:val="BodyTextIndent2"/>
        <w:spacing w:before="0" w:line="240" w:lineRule="auto"/>
        <w:ind w:left="180" w:right="98" w:firstLine="540"/>
        <w:jc w:val="both"/>
        <w:rPr>
          <w:bCs w:val="0"/>
          <w:sz w:val="24"/>
        </w:rPr>
      </w:pPr>
      <w:proofErr w:type="spellStart"/>
      <w:r w:rsidRPr="0036044B">
        <w:rPr>
          <w:bCs w:val="0"/>
          <w:sz w:val="24"/>
        </w:rPr>
        <w:t>Activităţi</w:t>
      </w:r>
      <w:proofErr w:type="spellEnd"/>
      <w:r w:rsidRPr="0036044B">
        <w:rPr>
          <w:bCs w:val="0"/>
          <w:sz w:val="24"/>
        </w:rPr>
        <w:t xml:space="preserve"> de informare publică privind elaborarea </w:t>
      </w:r>
      <w:proofErr w:type="spellStart"/>
      <w:r w:rsidRPr="0036044B">
        <w:rPr>
          <w:bCs w:val="0"/>
          <w:sz w:val="24"/>
        </w:rPr>
        <w:t>şi</w:t>
      </w:r>
      <w:proofErr w:type="spellEnd"/>
      <w:r w:rsidRPr="0036044B">
        <w:rPr>
          <w:bCs w:val="0"/>
          <w:sz w:val="24"/>
        </w:rPr>
        <w:t xml:space="preserve"> implementarea </w:t>
      </w:r>
      <w:bookmarkStart w:id="6" w:name="_Hlk100229941"/>
      <w:r w:rsidRPr="0036044B">
        <w:rPr>
          <w:bCs w:val="0"/>
          <w:sz w:val="24"/>
        </w:rPr>
        <w:t>proiectului de act normativ</w:t>
      </w:r>
      <w:bookmarkEnd w:id="6"/>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2B2AD7" w:rsidRPr="0036044B" w14:paraId="416004E3" w14:textId="77777777" w:rsidTr="00634CAE">
        <w:tc>
          <w:tcPr>
            <w:tcW w:w="10533" w:type="dxa"/>
          </w:tcPr>
          <w:p w14:paraId="29554504" w14:textId="3E86BEBC" w:rsidR="00770E01" w:rsidRPr="0036044B" w:rsidRDefault="00770E01" w:rsidP="0036044B">
            <w:pPr>
              <w:spacing w:after="120"/>
              <w:jc w:val="both"/>
              <w:rPr>
                <w:b/>
                <w:bCs/>
              </w:rPr>
            </w:pPr>
            <w:r w:rsidRPr="0036044B">
              <w:rPr>
                <w:b/>
                <w:bCs/>
              </w:rPr>
              <w:t xml:space="preserve">7.1. </w:t>
            </w:r>
            <w:r w:rsidR="0053566B" w:rsidRPr="0036044B">
              <w:rPr>
                <w:b/>
                <w:bCs/>
              </w:rPr>
              <w:t xml:space="preserve">Informarea </w:t>
            </w:r>
            <w:proofErr w:type="spellStart"/>
            <w:r w:rsidR="0053566B" w:rsidRPr="0036044B">
              <w:rPr>
                <w:b/>
                <w:bCs/>
              </w:rPr>
              <w:t>societăţii</w:t>
            </w:r>
            <w:proofErr w:type="spellEnd"/>
            <w:r w:rsidR="0053566B" w:rsidRPr="0036044B">
              <w:rPr>
                <w:b/>
                <w:bCs/>
              </w:rPr>
              <w:t xml:space="preserve"> civile cu privire la elaborarea proiectului de act normativ</w:t>
            </w:r>
          </w:p>
          <w:p w14:paraId="3695E7F7" w14:textId="77777777" w:rsidR="0053566B" w:rsidRPr="0036044B" w:rsidRDefault="0053566B" w:rsidP="0036044B">
            <w:pPr>
              <w:spacing w:after="120"/>
              <w:jc w:val="both"/>
              <w:rPr>
                <w:b/>
                <w:bCs/>
              </w:rPr>
            </w:pPr>
            <w:r w:rsidRPr="0036044B">
              <w:rPr>
                <w:b/>
                <w:bCs/>
              </w:rPr>
              <w:t xml:space="preserve">7.2. Informarea </w:t>
            </w:r>
            <w:proofErr w:type="spellStart"/>
            <w:r w:rsidRPr="0036044B">
              <w:rPr>
                <w:b/>
                <w:bCs/>
              </w:rPr>
              <w:t>societăţii</w:t>
            </w:r>
            <w:proofErr w:type="spellEnd"/>
            <w:r w:rsidRPr="0036044B">
              <w:rPr>
                <w:b/>
                <w:bCs/>
              </w:rPr>
              <w:t xml:space="preserve"> civile cu privire la e</w:t>
            </w:r>
            <w:r w:rsidR="008F6907" w:rsidRPr="0036044B">
              <w:rPr>
                <w:b/>
                <w:bCs/>
              </w:rPr>
              <w:t>v</w:t>
            </w:r>
            <w:r w:rsidRPr="0036044B">
              <w:rPr>
                <w:b/>
                <w:bCs/>
              </w:rPr>
              <w:t>entualul impact asupra mediului în urma implementării proiectului de act normativ, precum și efectele asupra sănătății și securității cetățenilor sau diversității biologice</w:t>
            </w:r>
          </w:p>
          <w:p w14:paraId="6A2C5259" w14:textId="2EF9212E" w:rsidR="008F6907" w:rsidRPr="0036044B" w:rsidRDefault="008F6907" w:rsidP="0036044B">
            <w:pPr>
              <w:spacing w:after="120"/>
              <w:jc w:val="both"/>
              <w:rPr>
                <w:b/>
                <w:bCs/>
              </w:rPr>
            </w:pPr>
            <w:r w:rsidRPr="0036044B">
              <w:rPr>
                <w:b/>
                <w:bCs/>
              </w:rPr>
              <w:t>7.3. Alte informații</w:t>
            </w:r>
          </w:p>
        </w:tc>
      </w:tr>
    </w:tbl>
    <w:p w14:paraId="341152AF" w14:textId="77777777" w:rsidR="0053566B" w:rsidRPr="0036044B" w:rsidRDefault="00670C79" w:rsidP="0036044B">
      <w:pPr>
        <w:spacing w:after="120"/>
        <w:ind w:left="180" w:firstLine="540"/>
        <w:rPr>
          <w:b/>
        </w:rPr>
      </w:pPr>
      <w:proofErr w:type="spellStart"/>
      <w:r w:rsidRPr="0036044B">
        <w:rPr>
          <w:b/>
        </w:rPr>
        <w:t>Secţiunea</w:t>
      </w:r>
      <w:proofErr w:type="spellEnd"/>
      <w:r w:rsidRPr="0036044B">
        <w:rPr>
          <w:b/>
        </w:rPr>
        <w:t xml:space="preserve"> a 8- a</w:t>
      </w:r>
      <w:r w:rsidR="002E20A6" w:rsidRPr="0036044B">
        <w:rPr>
          <w:b/>
        </w:rPr>
        <w:t xml:space="preserve"> </w:t>
      </w:r>
      <w:r w:rsidRPr="0036044B">
        <w:rPr>
          <w:b/>
        </w:rPr>
        <w:t xml:space="preserve"> </w:t>
      </w:r>
    </w:p>
    <w:p w14:paraId="3FBCA191" w14:textId="2A77164A" w:rsidR="00670C79" w:rsidRPr="0036044B" w:rsidRDefault="00670C79" w:rsidP="0036044B">
      <w:pPr>
        <w:spacing w:after="120"/>
        <w:ind w:left="180" w:firstLine="540"/>
        <w:rPr>
          <w:b/>
        </w:rPr>
      </w:pPr>
      <w:r w:rsidRPr="0036044B">
        <w:rPr>
          <w:b/>
        </w:rPr>
        <w:t xml:space="preserve">Măsuri </w:t>
      </w:r>
      <w:r w:rsidR="0053566B" w:rsidRPr="0036044B">
        <w:rPr>
          <w:b/>
        </w:rPr>
        <w:t>privind</w:t>
      </w:r>
      <w:r w:rsidRPr="0036044B">
        <w:rPr>
          <w:b/>
        </w:rPr>
        <w:t xml:space="preserve"> implementare</w:t>
      </w:r>
      <w:r w:rsidR="0053566B" w:rsidRPr="0036044B">
        <w:rPr>
          <w:b/>
        </w:rPr>
        <w:t>a, monitorizarea și evaluarea proiectului de act normativ</w:t>
      </w:r>
    </w:p>
    <w:tbl>
      <w:tblPr>
        <w:tblW w:w="105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53"/>
      </w:tblGrid>
      <w:tr w:rsidR="002B2AD7" w:rsidRPr="0036044B" w14:paraId="554BFAFC" w14:textId="77777777" w:rsidTr="00435BC5">
        <w:tc>
          <w:tcPr>
            <w:tcW w:w="10553" w:type="dxa"/>
          </w:tcPr>
          <w:p w14:paraId="560280B7" w14:textId="452BF905" w:rsidR="0053566B" w:rsidRPr="0036044B" w:rsidRDefault="0053566B" w:rsidP="0036044B">
            <w:pPr>
              <w:pStyle w:val="Heading1"/>
              <w:spacing w:after="120" w:line="240" w:lineRule="auto"/>
              <w:jc w:val="both"/>
              <w:rPr>
                <w:b/>
                <w:bCs/>
                <w:sz w:val="24"/>
              </w:rPr>
            </w:pPr>
            <w:r w:rsidRPr="0036044B">
              <w:rPr>
                <w:b/>
                <w:bCs/>
                <w:sz w:val="24"/>
              </w:rPr>
              <w:t>8.1. Măsuri de punere în aplicare a proiectului de act normativ</w:t>
            </w:r>
          </w:p>
          <w:p w14:paraId="3837F202" w14:textId="183BCADB" w:rsidR="0053566B" w:rsidRPr="0036044B" w:rsidRDefault="0053566B" w:rsidP="0036044B">
            <w:r w:rsidRPr="0036044B">
              <w:rPr>
                <w:b/>
                <w:bCs/>
              </w:rPr>
              <w:t xml:space="preserve">8.2. Alte </w:t>
            </w:r>
            <w:proofErr w:type="spellStart"/>
            <w:r w:rsidRPr="0036044B">
              <w:rPr>
                <w:b/>
                <w:bCs/>
              </w:rPr>
              <w:t>informaţii</w:t>
            </w:r>
            <w:proofErr w:type="spellEnd"/>
          </w:p>
        </w:tc>
      </w:tr>
    </w:tbl>
    <w:p w14:paraId="28A87137" w14:textId="049BD90C" w:rsidR="00C5468F" w:rsidRPr="0036044B" w:rsidRDefault="00C5468F" w:rsidP="0036044B">
      <w:pPr>
        <w:widowControl w:val="0"/>
        <w:spacing w:after="120"/>
        <w:jc w:val="both"/>
      </w:pPr>
    </w:p>
    <w:p w14:paraId="4D31556C" w14:textId="00DABD82" w:rsidR="005A57E5" w:rsidRPr="0036044B" w:rsidRDefault="005A57E5" w:rsidP="0036044B">
      <w:pPr>
        <w:ind w:right="-450"/>
        <w:jc w:val="both"/>
      </w:pPr>
      <w:r w:rsidRPr="0036044B">
        <w:lastRenderedPageBreak/>
        <w:t xml:space="preserve">Față de cele prezentate mai sus, a fost promovat prezentul proiect de </w:t>
      </w:r>
      <w:r w:rsidRPr="0036044B">
        <w:rPr>
          <w:b/>
        </w:rPr>
        <w:t>Ordonanță privind unele măsuri pentru îndeplinirea jaloanelor și țintelor din Planul Național de Redresare și Reziliență al României, precum și pentru modificarea și completarea unor acte normative în domeniu</w:t>
      </w:r>
      <w:r w:rsidRPr="0036044B">
        <w:t>, în forma prezentată, a fost avizată de ministerele interesate și pe care o supunem adoptării.</w:t>
      </w:r>
    </w:p>
    <w:p w14:paraId="78A6DC82" w14:textId="77777777" w:rsidR="005A57E5" w:rsidRPr="0036044B" w:rsidRDefault="005A57E5" w:rsidP="0036044B">
      <w:pPr>
        <w:ind w:left="-709" w:right="-450"/>
        <w:jc w:val="both"/>
      </w:pPr>
    </w:p>
    <w:p w14:paraId="1505D125" w14:textId="77777777" w:rsidR="005A57E5" w:rsidRPr="0036044B" w:rsidRDefault="005A57E5" w:rsidP="009F6A6B">
      <w:pPr>
        <w:ind w:right="-450"/>
        <w:jc w:val="both"/>
      </w:pPr>
    </w:p>
    <w:p w14:paraId="1B353151" w14:textId="77777777" w:rsidR="005A57E5" w:rsidRPr="0036044B" w:rsidRDefault="005A57E5" w:rsidP="0036044B">
      <w:pPr>
        <w:jc w:val="center"/>
        <w:rPr>
          <w:b/>
          <w:lang w:eastAsia="en-GB"/>
        </w:rPr>
      </w:pPr>
      <w:r w:rsidRPr="0036044B">
        <w:rPr>
          <w:b/>
          <w:lang w:eastAsia="en-GB"/>
        </w:rPr>
        <w:t>MINISTRUL INVESTIȚIILOR ȘI PROIECTELOR EUROPENE</w:t>
      </w:r>
    </w:p>
    <w:p w14:paraId="62B19EBB" w14:textId="374DBE5D" w:rsidR="005A57E5" w:rsidRPr="0036044B" w:rsidRDefault="005A57E5" w:rsidP="0036044B">
      <w:pPr>
        <w:jc w:val="center"/>
        <w:rPr>
          <w:b/>
          <w:lang w:eastAsia="en-GB"/>
        </w:rPr>
      </w:pPr>
      <w:r w:rsidRPr="0036044B">
        <w:rPr>
          <w:b/>
          <w:lang w:eastAsia="en-GB"/>
        </w:rPr>
        <w:t>MARCEL</w:t>
      </w:r>
      <w:r w:rsidR="00913C98" w:rsidRPr="0036044B">
        <w:rPr>
          <w:b/>
          <w:lang w:eastAsia="en-GB"/>
        </w:rPr>
        <w:t xml:space="preserve"> </w:t>
      </w:r>
      <w:r w:rsidRPr="0036044B">
        <w:rPr>
          <w:b/>
          <w:lang w:eastAsia="en-GB"/>
        </w:rPr>
        <w:t>- IOAN BOLOŞ</w:t>
      </w:r>
    </w:p>
    <w:p w14:paraId="53234F83" w14:textId="77777777" w:rsidR="005A57E5" w:rsidRPr="0036044B" w:rsidRDefault="005A57E5" w:rsidP="0036044B">
      <w:pPr>
        <w:jc w:val="both"/>
        <w:rPr>
          <w:b/>
          <w:lang w:eastAsia="en-GB"/>
        </w:rPr>
      </w:pPr>
    </w:p>
    <w:p w14:paraId="0CAE3DCB" w14:textId="77777777" w:rsidR="005A57E5" w:rsidRPr="0036044B" w:rsidRDefault="005A57E5" w:rsidP="0036044B">
      <w:pPr>
        <w:jc w:val="both"/>
        <w:rPr>
          <w:b/>
          <w:lang w:eastAsia="en-GB"/>
        </w:rPr>
      </w:pPr>
    </w:p>
    <w:p w14:paraId="13854920" w14:textId="77777777" w:rsidR="005A57E5" w:rsidRPr="0036044B" w:rsidRDefault="005A57E5" w:rsidP="0036044B">
      <w:pPr>
        <w:ind w:firstLine="709"/>
        <w:jc w:val="center"/>
        <w:rPr>
          <w:b/>
          <w:lang w:eastAsia="en-GB"/>
        </w:rPr>
      </w:pPr>
    </w:p>
    <w:p w14:paraId="7B5302D3" w14:textId="77777777" w:rsidR="005A57E5" w:rsidRPr="0036044B" w:rsidRDefault="005A57E5" w:rsidP="0036044B">
      <w:pPr>
        <w:ind w:firstLine="709"/>
        <w:jc w:val="center"/>
        <w:rPr>
          <w:b/>
          <w:lang w:eastAsia="en-GB"/>
        </w:rPr>
      </w:pPr>
      <w:r w:rsidRPr="0036044B">
        <w:rPr>
          <w:b/>
          <w:lang w:eastAsia="en-GB"/>
        </w:rPr>
        <w:t>AVIZĂM :</w:t>
      </w:r>
    </w:p>
    <w:p w14:paraId="3AA04D51" w14:textId="77777777" w:rsidR="005A57E5" w:rsidRPr="0036044B" w:rsidRDefault="005A57E5" w:rsidP="0036044B">
      <w:pPr>
        <w:ind w:firstLine="709"/>
        <w:jc w:val="center"/>
        <w:rPr>
          <w:b/>
          <w:lang w:eastAsia="en-GB"/>
        </w:rPr>
      </w:pPr>
    </w:p>
    <w:p w14:paraId="32C2EF39" w14:textId="77777777" w:rsidR="005A57E5" w:rsidRPr="0036044B" w:rsidRDefault="005A57E5" w:rsidP="0036044B">
      <w:pPr>
        <w:ind w:firstLine="709"/>
        <w:jc w:val="center"/>
        <w:rPr>
          <w:b/>
          <w:lang w:eastAsia="en-GB"/>
        </w:rPr>
      </w:pPr>
      <w:r w:rsidRPr="0036044B">
        <w:rPr>
          <w:b/>
          <w:lang w:eastAsia="en-GB"/>
        </w:rPr>
        <w:t>VICEPRIM – MINISTRU</w:t>
      </w:r>
    </w:p>
    <w:p w14:paraId="7B602C87" w14:textId="77777777" w:rsidR="005A57E5" w:rsidRPr="0036044B" w:rsidRDefault="005A57E5" w:rsidP="0036044B">
      <w:pPr>
        <w:ind w:firstLine="709"/>
        <w:jc w:val="center"/>
        <w:rPr>
          <w:b/>
          <w:lang w:eastAsia="en-GB"/>
        </w:rPr>
      </w:pPr>
    </w:p>
    <w:p w14:paraId="33993A8B" w14:textId="77777777" w:rsidR="005A57E5" w:rsidRPr="0036044B" w:rsidRDefault="005A57E5" w:rsidP="0036044B">
      <w:pPr>
        <w:ind w:firstLine="709"/>
        <w:jc w:val="center"/>
        <w:rPr>
          <w:b/>
          <w:lang w:eastAsia="en-GB"/>
        </w:rPr>
      </w:pPr>
      <w:r w:rsidRPr="0036044B">
        <w:rPr>
          <w:b/>
          <w:lang w:eastAsia="en-GB"/>
        </w:rPr>
        <w:t>KELEMEN Hunor</w:t>
      </w:r>
    </w:p>
    <w:p w14:paraId="1867B7F2" w14:textId="77777777" w:rsidR="005A57E5" w:rsidRPr="0036044B" w:rsidRDefault="005A57E5" w:rsidP="0036044B">
      <w:pPr>
        <w:rPr>
          <w:b/>
          <w:lang w:eastAsia="en-GB"/>
        </w:rPr>
      </w:pPr>
    </w:p>
    <w:p w14:paraId="5E088366" w14:textId="77777777" w:rsidR="005A57E5" w:rsidRPr="0036044B" w:rsidRDefault="005A57E5" w:rsidP="0036044B">
      <w:pPr>
        <w:rPr>
          <w:b/>
          <w:lang w:eastAsia="en-GB"/>
        </w:rPr>
      </w:pPr>
    </w:p>
    <w:p w14:paraId="07A5BAA6" w14:textId="77777777" w:rsidR="005A57E5" w:rsidRPr="0036044B" w:rsidRDefault="005A57E5" w:rsidP="001B22B4">
      <w:pPr>
        <w:rPr>
          <w:b/>
          <w:lang w:eastAsia="en-GB"/>
        </w:rPr>
      </w:pPr>
    </w:p>
    <w:tbl>
      <w:tblPr>
        <w:tblW w:w="10615" w:type="dxa"/>
        <w:tblLook w:val="04A0" w:firstRow="1" w:lastRow="0" w:firstColumn="1" w:lastColumn="0" w:noHBand="0" w:noVBand="1"/>
      </w:tblPr>
      <w:tblGrid>
        <w:gridCol w:w="5485"/>
        <w:gridCol w:w="5130"/>
      </w:tblGrid>
      <w:tr w:rsidR="002B2AD7" w:rsidRPr="0036044B" w14:paraId="3BBAE71E" w14:textId="77777777" w:rsidTr="00C26C10">
        <w:tc>
          <w:tcPr>
            <w:tcW w:w="5485" w:type="dxa"/>
            <w:shd w:val="clear" w:color="auto" w:fill="auto"/>
          </w:tcPr>
          <w:p w14:paraId="75D77F36" w14:textId="4BD49195" w:rsidR="005A57E5" w:rsidRPr="0036044B" w:rsidRDefault="005A57E5" w:rsidP="0036044B">
            <w:pPr>
              <w:jc w:val="center"/>
              <w:rPr>
                <w:rFonts w:eastAsia="Calibri"/>
                <w:b/>
              </w:rPr>
            </w:pPr>
          </w:p>
        </w:tc>
        <w:tc>
          <w:tcPr>
            <w:tcW w:w="5130" w:type="dxa"/>
            <w:shd w:val="clear" w:color="auto" w:fill="auto"/>
          </w:tcPr>
          <w:p w14:paraId="1AF81E9B" w14:textId="77777777" w:rsidR="005A57E5" w:rsidRPr="0036044B" w:rsidRDefault="005A57E5" w:rsidP="001B22B4">
            <w:pPr>
              <w:jc w:val="center"/>
              <w:rPr>
                <w:rFonts w:eastAsia="Calibri"/>
                <w:b/>
              </w:rPr>
            </w:pPr>
          </w:p>
        </w:tc>
      </w:tr>
      <w:tr w:rsidR="002B2AD7" w:rsidRPr="0036044B" w14:paraId="43DC3AD7" w14:textId="77777777" w:rsidTr="00C26C10">
        <w:tc>
          <w:tcPr>
            <w:tcW w:w="5485" w:type="dxa"/>
            <w:shd w:val="clear" w:color="auto" w:fill="auto"/>
          </w:tcPr>
          <w:p w14:paraId="7458330F" w14:textId="77777777" w:rsidR="001B22B4" w:rsidRPr="0036044B" w:rsidRDefault="001B22B4" w:rsidP="001B22B4">
            <w:pPr>
              <w:jc w:val="center"/>
              <w:rPr>
                <w:rFonts w:eastAsia="Calibri"/>
                <w:b/>
              </w:rPr>
            </w:pPr>
            <w:r w:rsidRPr="0036044B">
              <w:rPr>
                <w:rFonts w:eastAsia="Calibri"/>
                <w:b/>
              </w:rPr>
              <w:t>VICEPRIM - MINISTRU</w:t>
            </w:r>
          </w:p>
          <w:p w14:paraId="76ABBAF6" w14:textId="77777777" w:rsidR="001B22B4" w:rsidRPr="0036044B" w:rsidRDefault="001B22B4" w:rsidP="001B22B4">
            <w:pPr>
              <w:jc w:val="center"/>
              <w:rPr>
                <w:rFonts w:eastAsia="Calibri"/>
                <w:b/>
              </w:rPr>
            </w:pPr>
            <w:r w:rsidRPr="0036044B">
              <w:rPr>
                <w:rFonts w:eastAsia="Calibri"/>
                <w:b/>
              </w:rPr>
              <w:t>MINISTRUL TRANSPORTURILOR ȘI INFRASTRUCTURII</w:t>
            </w:r>
          </w:p>
          <w:p w14:paraId="35305A97" w14:textId="77777777" w:rsidR="001B22B4" w:rsidRPr="0036044B" w:rsidRDefault="001B22B4" w:rsidP="001B22B4">
            <w:pPr>
              <w:rPr>
                <w:rFonts w:eastAsia="Calibri"/>
                <w:b/>
              </w:rPr>
            </w:pPr>
          </w:p>
          <w:p w14:paraId="1B102A00" w14:textId="77777777" w:rsidR="001B22B4" w:rsidRPr="0036044B" w:rsidRDefault="001B22B4" w:rsidP="001B22B4">
            <w:pPr>
              <w:jc w:val="center"/>
              <w:rPr>
                <w:rFonts w:eastAsia="Calibri"/>
                <w:b/>
              </w:rPr>
            </w:pPr>
            <w:r w:rsidRPr="0036044B">
              <w:rPr>
                <w:rFonts w:eastAsia="Calibri"/>
                <w:b/>
              </w:rPr>
              <w:t>Sorin Mihai GRINDEANU</w:t>
            </w:r>
          </w:p>
          <w:p w14:paraId="0C413654" w14:textId="77777777" w:rsidR="005A57E5" w:rsidRPr="001B22B4" w:rsidRDefault="005A57E5" w:rsidP="0036044B">
            <w:pPr>
              <w:jc w:val="center"/>
              <w:rPr>
                <w:rFonts w:eastAsia="Calibri"/>
              </w:rPr>
            </w:pPr>
          </w:p>
        </w:tc>
        <w:tc>
          <w:tcPr>
            <w:tcW w:w="5130" w:type="dxa"/>
            <w:shd w:val="clear" w:color="auto" w:fill="auto"/>
          </w:tcPr>
          <w:p w14:paraId="30C2A52A" w14:textId="77777777" w:rsidR="001B22B4" w:rsidRPr="0036044B" w:rsidRDefault="001B22B4" w:rsidP="001B22B4">
            <w:pPr>
              <w:jc w:val="center"/>
              <w:rPr>
                <w:rFonts w:eastAsia="Calibri"/>
                <w:b/>
              </w:rPr>
            </w:pPr>
            <w:r w:rsidRPr="0036044B">
              <w:rPr>
                <w:rFonts w:eastAsia="Calibri"/>
                <w:b/>
              </w:rPr>
              <w:t>MINISTRUL</w:t>
            </w:r>
            <w:r w:rsidRPr="0036044B">
              <w:rPr>
                <w:rFonts w:eastAsia="Calibri"/>
              </w:rPr>
              <w:t xml:space="preserve"> </w:t>
            </w:r>
            <w:r w:rsidRPr="0036044B">
              <w:rPr>
                <w:rFonts w:eastAsia="Calibri"/>
                <w:b/>
              </w:rPr>
              <w:t>DEZVOLTĂRII, LUCRĂRILOR PUBLICE ȘI ADMINISTRAȚIEI</w:t>
            </w:r>
          </w:p>
          <w:p w14:paraId="36470038" w14:textId="77777777" w:rsidR="001B22B4" w:rsidRPr="0036044B" w:rsidRDefault="001B22B4" w:rsidP="001B22B4">
            <w:pPr>
              <w:jc w:val="center"/>
              <w:rPr>
                <w:rFonts w:eastAsia="Calibri"/>
                <w:b/>
              </w:rPr>
            </w:pPr>
          </w:p>
          <w:p w14:paraId="3CCDF27B" w14:textId="5CE03484" w:rsidR="005A57E5" w:rsidRPr="0036044B" w:rsidRDefault="001B22B4" w:rsidP="001B22B4">
            <w:pPr>
              <w:jc w:val="center"/>
              <w:rPr>
                <w:rFonts w:eastAsia="Calibri"/>
                <w:b/>
              </w:rPr>
            </w:pPr>
            <w:r w:rsidRPr="0036044B">
              <w:rPr>
                <w:rFonts w:eastAsia="Calibri"/>
                <w:b/>
                <w:bCs/>
              </w:rPr>
              <w:t>CSEKE Attila-Zoltán</w:t>
            </w:r>
          </w:p>
        </w:tc>
      </w:tr>
      <w:tr w:rsidR="002B2AD7" w:rsidRPr="0036044B" w14:paraId="0B7BAEBA" w14:textId="77777777" w:rsidTr="00C26C10">
        <w:tc>
          <w:tcPr>
            <w:tcW w:w="5485" w:type="dxa"/>
            <w:shd w:val="clear" w:color="auto" w:fill="auto"/>
          </w:tcPr>
          <w:p w14:paraId="72CA21FE" w14:textId="77777777" w:rsidR="005A57E5" w:rsidRPr="0036044B" w:rsidRDefault="005A57E5" w:rsidP="0036044B">
            <w:pPr>
              <w:jc w:val="center"/>
              <w:rPr>
                <w:rFonts w:eastAsia="Calibri"/>
                <w:b/>
              </w:rPr>
            </w:pPr>
          </w:p>
        </w:tc>
        <w:tc>
          <w:tcPr>
            <w:tcW w:w="5130" w:type="dxa"/>
            <w:shd w:val="clear" w:color="auto" w:fill="auto"/>
          </w:tcPr>
          <w:p w14:paraId="4F870FF3" w14:textId="77777777" w:rsidR="005A57E5" w:rsidRPr="0036044B" w:rsidRDefault="005A57E5" w:rsidP="0036044B">
            <w:pPr>
              <w:jc w:val="center"/>
              <w:rPr>
                <w:rFonts w:eastAsia="Calibri"/>
                <w:b/>
              </w:rPr>
            </w:pPr>
          </w:p>
        </w:tc>
      </w:tr>
      <w:tr w:rsidR="002B2AD7" w:rsidRPr="0036044B" w14:paraId="2C23B4F0" w14:textId="77777777" w:rsidTr="00C26C10">
        <w:tc>
          <w:tcPr>
            <w:tcW w:w="5485" w:type="dxa"/>
            <w:shd w:val="clear" w:color="auto" w:fill="auto"/>
          </w:tcPr>
          <w:p w14:paraId="1AFE287B" w14:textId="76E50A99" w:rsidR="005A57E5" w:rsidRPr="0036044B" w:rsidRDefault="005A57E5" w:rsidP="001B22B4">
            <w:pPr>
              <w:rPr>
                <w:rFonts w:eastAsia="Calibri"/>
                <w:b/>
              </w:rPr>
            </w:pPr>
          </w:p>
        </w:tc>
        <w:tc>
          <w:tcPr>
            <w:tcW w:w="5130" w:type="dxa"/>
            <w:shd w:val="clear" w:color="auto" w:fill="auto"/>
          </w:tcPr>
          <w:p w14:paraId="7EBCCD7A" w14:textId="77777777" w:rsidR="005A57E5" w:rsidRPr="0036044B" w:rsidRDefault="005A57E5" w:rsidP="0036044B">
            <w:pPr>
              <w:jc w:val="center"/>
              <w:rPr>
                <w:rFonts w:eastAsia="Calibri"/>
                <w:b/>
              </w:rPr>
            </w:pPr>
          </w:p>
        </w:tc>
      </w:tr>
      <w:tr w:rsidR="002B2AD7" w:rsidRPr="0036044B" w14:paraId="06102E36" w14:textId="77777777" w:rsidTr="00C26C10">
        <w:tc>
          <w:tcPr>
            <w:tcW w:w="5485" w:type="dxa"/>
            <w:shd w:val="clear" w:color="auto" w:fill="auto"/>
          </w:tcPr>
          <w:p w14:paraId="70E124B1" w14:textId="77777777" w:rsidR="005A57E5" w:rsidRPr="0036044B" w:rsidRDefault="005A57E5" w:rsidP="0036044B">
            <w:pPr>
              <w:jc w:val="center"/>
              <w:rPr>
                <w:rFonts w:eastAsia="Calibri"/>
                <w:b/>
              </w:rPr>
            </w:pPr>
          </w:p>
        </w:tc>
        <w:tc>
          <w:tcPr>
            <w:tcW w:w="5130" w:type="dxa"/>
            <w:shd w:val="clear" w:color="auto" w:fill="auto"/>
          </w:tcPr>
          <w:p w14:paraId="08497B69" w14:textId="77777777" w:rsidR="005A57E5" w:rsidRPr="0036044B" w:rsidRDefault="005A57E5" w:rsidP="0036044B">
            <w:pPr>
              <w:jc w:val="center"/>
              <w:rPr>
                <w:rFonts w:eastAsia="Calibri"/>
                <w:b/>
              </w:rPr>
            </w:pPr>
          </w:p>
        </w:tc>
      </w:tr>
      <w:tr w:rsidR="002B2AD7" w:rsidRPr="0036044B" w14:paraId="7DDE4441" w14:textId="77777777" w:rsidTr="00C26C10">
        <w:tc>
          <w:tcPr>
            <w:tcW w:w="5485" w:type="dxa"/>
            <w:shd w:val="clear" w:color="auto" w:fill="auto"/>
          </w:tcPr>
          <w:p w14:paraId="35C97089" w14:textId="77777777" w:rsidR="005A57E5" w:rsidRPr="0036044B" w:rsidRDefault="005A57E5" w:rsidP="0036044B">
            <w:pPr>
              <w:jc w:val="center"/>
              <w:rPr>
                <w:rFonts w:eastAsia="Calibri"/>
                <w:b/>
              </w:rPr>
            </w:pPr>
          </w:p>
        </w:tc>
        <w:tc>
          <w:tcPr>
            <w:tcW w:w="5130" w:type="dxa"/>
            <w:shd w:val="clear" w:color="auto" w:fill="auto"/>
          </w:tcPr>
          <w:p w14:paraId="0BEF03FA" w14:textId="77777777" w:rsidR="005A57E5" w:rsidRPr="0036044B" w:rsidRDefault="005A57E5" w:rsidP="0036044B">
            <w:pPr>
              <w:jc w:val="center"/>
              <w:rPr>
                <w:rFonts w:eastAsia="Calibri"/>
                <w:b/>
              </w:rPr>
            </w:pPr>
          </w:p>
        </w:tc>
      </w:tr>
      <w:tr w:rsidR="002B2AD7" w:rsidRPr="0036044B" w14:paraId="5BB64211" w14:textId="77777777" w:rsidTr="00C26C10">
        <w:tc>
          <w:tcPr>
            <w:tcW w:w="5485" w:type="dxa"/>
            <w:shd w:val="clear" w:color="auto" w:fill="auto"/>
          </w:tcPr>
          <w:p w14:paraId="3E0A5396" w14:textId="77777777" w:rsidR="001B22B4" w:rsidRPr="0036044B" w:rsidRDefault="001B22B4" w:rsidP="001B22B4">
            <w:pPr>
              <w:jc w:val="center"/>
              <w:rPr>
                <w:rFonts w:eastAsia="Calibri"/>
                <w:b/>
              </w:rPr>
            </w:pPr>
            <w:r w:rsidRPr="0036044B">
              <w:rPr>
                <w:rFonts w:eastAsia="Calibri"/>
                <w:b/>
              </w:rPr>
              <w:t>MINISTRUL</w:t>
            </w:r>
            <w:r w:rsidRPr="0036044B">
              <w:rPr>
                <w:rFonts w:eastAsia="Calibri"/>
              </w:rPr>
              <w:t xml:space="preserve"> </w:t>
            </w:r>
            <w:r w:rsidRPr="0036044B">
              <w:rPr>
                <w:rFonts w:eastAsia="Calibri"/>
                <w:b/>
              </w:rPr>
              <w:t>EDUCAȚIEI</w:t>
            </w:r>
          </w:p>
          <w:p w14:paraId="2D3576E9" w14:textId="77777777" w:rsidR="001B22B4" w:rsidRPr="0036044B" w:rsidRDefault="001B22B4" w:rsidP="001B22B4">
            <w:pPr>
              <w:rPr>
                <w:rFonts w:eastAsia="Calibri"/>
                <w:b/>
              </w:rPr>
            </w:pPr>
          </w:p>
          <w:p w14:paraId="771FA52E" w14:textId="77777777" w:rsidR="001B22B4" w:rsidRPr="0036044B" w:rsidRDefault="001B22B4" w:rsidP="001B22B4">
            <w:pPr>
              <w:jc w:val="center"/>
              <w:rPr>
                <w:rFonts w:eastAsia="Calibri"/>
                <w:b/>
              </w:rPr>
            </w:pPr>
            <w:r w:rsidRPr="0036044B">
              <w:rPr>
                <w:rFonts w:eastAsia="Calibri"/>
                <w:b/>
              </w:rPr>
              <w:t>Sorin-Mihai CÎMPEANU</w:t>
            </w:r>
          </w:p>
          <w:p w14:paraId="72D89287" w14:textId="6B2620BB" w:rsidR="005A57E5" w:rsidRPr="0036044B" w:rsidRDefault="005A57E5" w:rsidP="0036044B">
            <w:pPr>
              <w:jc w:val="center"/>
              <w:rPr>
                <w:rFonts w:eastAsia="Calibri"/>
                <w:b/>
              </w:rPr>
            </w:pPr>
          </w:p>
        </w:tc>
        <w:tc>
          <w:tcPr>
            <w:tcW w:w="5130" w:type="dxa"/>
            <w:shd w:val="clear" w:color="auto" w:fill="auto"/>
          </w:tcPr>
          <w:p w14:paraId="6E5E7C71" w14:textId="1A1607E7" w:rsidR="001B22B4" w:rsidRDefault="001B22B4" w:rsidP="001B22B4">
            <w:pPr>
              <w:jc w:val="center"/>
              <w:rPr>
                <w:rFonts w:eastAsia="Calibri"/>
                <w:b/>
              </w:rPr>
            </w:pPr>
            <w:r w:rsidRPr="0036044B">
              <w:rPr>
                <w:rFonts w:eastAsia="Calibri"/>
                <w:b/>
              </w:rPr>
              <w:t>MINISTRUL</w:t>
            </w:r>
            <w:r w:rsidRPr="0036044B">
              <w:rPr>
                <w:rFonts w:eastAsia="Calibri"/>
              </w:rPr>
              <w:t xml:space="preserve"> </w:t>
            </w:r>
            <w:r w:rsidRPr="0036044B">
              <w:rPr>
                <w:rFonts w:eastAsia="Calibri"/>
                <w:b/>
              </w:rPr>
              <w:t>SĂNĂTĂȚII</w:t>
            </w:r>
          </w:p>
          <w:p w14:paraId="5A39D845" w14:textId="77777777" w:rsidR="001B22B4" w:rsidRPr="0036044B" w:rsidRDefault="001B22B4" w:rsidP="001B22B4">
            <w:pPr>
              <w:jc w:val="center"/>
              <w:rPr>
                <w:rFonts w:eastAsia="Calibri"/>
                <w:b/>
              </w:rPr>
            </w:pPr>
          </w:p>
          <w:p w14:paraId="275DFCC1" w14:textId="4393D9C4" w:rsidR="005A57E5" w:rsidRPr="0036044B" w:rsidRDefault="001B22B4" w:rsidP="001B22B4">
            <w:pPr>
              <w:jc w:val="center"/>
              <w:rPr>
                <w:rFonts w:eastAsia="Calibri"/>
                <w:b/>
              </w:rPr>
            </w:pPr>
            <w:r w:rsidRPr="0036044B">
              <w:rPr>
                <w:rFonts w:eastAsia="Calibri"/>
                <w:b/>
              </w:rPr>
              <w:t>Alexandru RAFILA</w:t>
            </w:r>
          </w:p>
        </w:tc>
      </w:tr>
      <w:tr w:rsidR="002B2AD7" w:rsidRPr="0036044B" w14:paraId="51AD0A74" w14:textId="77777777" w:rsidTr="00C26C10">
        <w:tc>
          <w:tcPr>
            <w:tcW w:w="5485" w:type="dxa"/>
            <w:shd w:val="clear" w:color="auto" w:fill="auto"/>
          </w:tcPr>
          <w:p w14:paraId="7A116ABA" w14:textId="77777777" w:rsidR="005A57E5" w:rsidRPr="0036044B" w:rsidRDefault="005A57E5" w:rsidP="0036044B">
            <w:pPr>
              <w:jc w:val="center"/>
              <w:rPr>
                <w:rFonts w:eastAsia="Calibri"/>
                <w:b/>
              </w:rPr>
            </w:pPr>
          </w:p>
        </w:tc>
        <w:tc>
          <w:tcPr>
            <w:tcW w:w="5130" w:type="dxa"/>
            <w:shd w:val="clear" w:color="auto" w:fill="auto"/>
          </w:tcPr>
          <w:p w14:paraId="093858A3" w14:textId="77777777" w:rsidR="005A57E5" w:rsidRPr="0036044B" w:rsidRDefault="005A57E5" w:rsidP="0036044B">
            <w:pPr>
              <w:jc w:val="center"/>
              <w:rPr>
                <w:rFonts w:eastAsia="Calibri"/>
                <w:b/>
              </w:rPr>
            </w:pPr>
          </w:p>
        </w:tc>
      </w:tr>
      <w:tr w:rsidR="002B2AD7" w:rsidRPr="0036044B" w14:paraId="0ED7B5F7" w14:textId="77777777" w:rsidTr="001B22B4">
        <w:trPr>
          <w:trHeight w:val="127"/>
        </w:trPr>
        <w:tc>
          <w:tcPr>
            <w:tcW w:w="5485" w:type="dxa"/>
            <w:shd w:val="clear" w:color="auto" w:fill="auto"/>
          </w:tcPr>
          <w:p w14:paraId="7676E88B" w14:textId="77777777" w:rsidR="005A57E5" w:rsidRPr="0036044B" w:rsidRDefault="005A57E5" w:rsidP="0036044B">
            <w:pPr>
              <w:jc w:val="center"/>
              <w:rPr>
                <w:rFonts w:eastAsia="Calibri"/>
                <w:b/>
              </w:rPr>
            </w:pPr>
          </w:p>
        </w:tc>
        <w:tc>
          <w:tcPr>
            <w:tcW w:w="5130" w:type="dxa"/>
            <w:shd w:val="clear" w:color="auto" w:fill="auto"/>
          </w:tcPr>
          <w:p w14:paraId="4AC4059F" w14:textId="77777777" w:rsidR="005A57E5" w:rsidRPr="0036044B" w:rsidRDefault="005A57E5" w:rsidP="0036044B">
            <w:pPr>
              <w:jc w:val="center"/>
              <w:rPr>
                <w:rFonts w:eastAsia="Calibri"/>
                <w:b/>
              </w:rPr>
            </w:pPr>
          </w:p>
        </w:tc>
      </w:tr>
      <w:tr w:rsidR="002B2AD7" w:rsidRPr="0036044B" w14:paraId="5A81443F" w14:textId="77777777" w:rsidTr="00C26C10">
        <w:tc>
          <w:tcPr>
            <w:tcW w:w="5485" w:type="dxa"/>
            <w:shd w:val="clear" w:color="auto" w:fill="auto"/>
          </w:tcPr>
          <w:p w14:paraId="2D69A5D9" w14:textId="77777777" w:rsidR="001B22B4" w:rsidRPr="0036044B" w:rsidRDefault="001B22B4" w:rsidP="001B22B4">
            <w:pPr>
              <w:jc w:val="center"/>
              <w:rPr>
                <w:rFonts w:eastAsia="Calibri"/>
                <w:b/>
              </w:rPr>
            </w:pPr>
            <w:r w:rsidRPr="0036044B">
              <w:rPr>
                <w:rFonts w:eastAsia="Calibri"/>
                <w:b/>
              </w:rPr>
              <w:t>MINISTRUL</w:t>
            </w:r>
            <w:r w:rsidRPr="0036044B">
              <w:rPr>
                <w:rFonts w:eastAsia="Calibri"/>
              </w:rPr>
              <w:t xml:space="preserve"> </w:t>
            </w:r>
            <w:r w:rsidRPr="0036044B">
              <w:rPr>
                <w:rFonts w:eastAsia="Calibri"/>
                <w:b/>
              </w:rPr>
              <w:t>FINANŢELOR</w:t>
            </w:r>
          </w:p>
          <w:p w14:paraId="490C4C73" w14:textId="77777777" w:rsidR="001B22B4" w:rsidRPr="0036044B" w:rsidRDefault="001B22B4" w:rsidP="001B22B4">
            <w:pPr>
              <w:jc w:val="center"/>
              <w:rPr>
                <w:rFonts w:eastAsia="Calibri"/>
                <w:b/>
              </w:rPr>
            </w:pPr>
          </w:p>
          <w:p w14:paraId="77DDB0B7" w14:textId="77777777" w:rsidR="001B22B4" w:rsidRPr="0036044B" w:rsidRDefault="001B22B4" w:rsidP="001B22B4">
            <w:pPr>
              <w:jc w:val="center"/>
              <w:rPr>
                <w:rFonts w:eastAsia="Calibri"/>
                <w:b/>
              </w:rPr>
            </w:pPr>
          </w:p>
          <w:p w14:paraId="10B95910" w14:textId="0ED14DA0" w:rsidR="005A57E5" w:rsidRPr="0036044B" w:rsidRDefault="001B22B4" w:rsidP="001B22B4">
            <w:pPr>
              <w:jc w:val="center"/>
              <w:rPr>
                <w:rFonts w:eastAsia="Calibri"/>
                <w:b/>
              </w:rPr>
            </w:pPr>
            <w:r w:rsidRPr="0036044B">
              <w:rPr>
                <w:rFonts w:eastAsia="Calibri"/>
                <w:b/>
              </w:rPr>
              <w:t>ADRIAN CÂCIU</w:t>
            </w:r>
          </w:p>
        </w:tc>
        <w:tc>
          <w:tcPr>
            <w:tcW w:w="5130" w:type="dxa"/>
            <w:shd w:val="clear" w:color="auto" w:fill="auto"/>
          </w:tcPr>
          <w:p w14:paraId="35C4D451" w14:textId="77777777" w:rsidR="001B22B4" w:rsidRPr="00FA4AB8" w:rsidRDefault="001B22B4" w:rsidP="001B22B4">
            <w:pPr>
              <w:jc w:val="center"/>
              <w:rPr>
                <w:rFonts w:eastAsia="Calibri"/>
                <w:b/>
              </w:rPr>
            </w:pPr>
            <w:r w:rsidRPr="00FA4AB8">
              <w:rPr>
                <w:rFonts w:eastAsia="Calibri"/>
                <w:b/>
              </w:rPr>
              <w:t>MINISTRUL JUSTIŢIEI</w:t>
            </w:r>
          </w:p>
          <w:p w14:paraId="5B11F773" w14:textId="77777777" w:rsidR="001B22B4" w:rsidRPr="00FA4AB8" w:rsidRDefault="001B22B4" w:rsidP="001B22B4">
            <w:pPr>
              <w:jc w:val="center"/>
              <w:rPr>
                <w:rFonts w:eastAsia="Calibri"/>
                <w:b/>
              </w:rPr>
            </w:pPr>
          </w:p>
          <w:p w14:paraId="5B4ED051" w14:textId="77777777" w:rsidR="001B22B4" w:rsidRDefault="001B22B4" w:rsidP="001B22B4">
            <w:pPr>
              <w:jc w:val="center"/>
              <w:rPr>
                <w:rFonts w:eastAsia="Calibri"/>
                <w:b/>
              </w:rPr>
            </w:pPr>
          </w:p>
          <w:p w14:paraId="799A8F96" w14:textId="77777777" w:rsidR="001B22B4" w:rsidRPr="00FA4AB8" w:rsidRDefault="001B22B4" w:rsidP="001B22B4">
            <w:pPr>
              <w:jc w:val="center"/>
              <w:rPr>
                <w:rFonts w:eastAsia="Calibri"/>
                <w:b/>
              </w:rPr>
            </w:pPr>
            <w:r w:rsidRPr="00FA4AB8">
              <w:rPr>
                <w:rFonts w:eastAsia="Calibri"/>
                <w:b/>
              </w:rPr>
              <w:t>MARIAN – CĂTĂLIN PREDOIU</w:t>
            </w:r>
          </w:p>
          <w:p w14:paraId="2E46503F" w14:textId="77777777" w:rsidR="005A57E5" w:rsidRPr="0036044B" w:rsidRDefault="005A57E5" w:rsidP="0036044B">
            <w:pPr>
              <w:jc w:val="center"/>
              <w:rPr>
                <w:rFonts w:eastAsia="Calibri"/>
                <w:b/>
              </w:rPr>
            </w:pPr>
          </w:p>
        </w:tc>
      </w:tr>
      <w:tr w:rsidR="002B2AD7" w:rsidRPr="0036044B" w14:paraId="4B755467" w14:textId="77777777" w:rsidTr="00C26C10">
        <w:tc>
          <w:tcPr>
            <w:tcW w:w="5485" w:type="dxa"/>
            <w:shd w:val="clear" w:color="auto" w:fill="auto"/>
          </w:tcPr>
          <w:p w14:paraId="2C240A0B" w14:textId="77777777" w:rsidR="005A57E5" w:rsidRPr="0036044B" w:rsidRDefault="005A57E5" w:rsidP="0036044B">
            <w:pPr>
              <w:rPr>
                <w:rFonts w:eastAsia="Calibri"/>
                <w:b/>
              </w:rPr>
            </w:pPr>
          </w:p>
        </w:tc>
        <w:tc>
          <w:tcPr>
            <w:tcW w:w="5130" w:type="dxa"/>
            <w:shd w:val="clear" w:color="auto" w:fill="auto"/>
          </w:tcPr>
          <w:p w14:paraId="7DA203B6" w14:textId="507A0C7C" w:rsidR="00975D69" w:rsidRPr="0036044B" w:rsidRDefault="00975D69" w:rsidP="0036044B">
            <w:pPr>
              <w:jc w:val="center"/>
              <w:rPr>
                <w:rFonts w:eastAsia="Calibri"/>
                <w:b/>
              </w:rPr>
            </w:pPr>
          </w:p>
        </w:tc>
      </w:tr>
      <w:tr w:rsidR="00975D69" w:rsidRPr="0036044B" w14:paraId="3A7CD639" w14:textId="77777777" w:rsidTr="00C26C10">
        <w:tc>
          <w:tcPr>
            <w:tcW w:w="10615" w:type="dxa"/>
            <w:gridSpan w:val="2"/>
            <w:shd w:val="clear" w:color="auto" w:fill="auto"/>
          </w:tcPr>
          <w:p w14:paraId="32532345" w14:textId="28068244" w:rsidR="009F6A6B" w:rsidRPr="0036044B" w:rsidRDefault="009F6A6B" w:rsidP="0036044B">
            <w:pPr>
              <w:jc w:val="center"/>
              <w:rPr>
                <w:rFonts w:eastAsia="Calibri"/>
                <w:b/>
              </w:rPr>
            </w:pPr>
          </w:p>
        </w:tc>
      </w:tr>
    </w:tbl>
    <w:p w14:paraId="1368D7D7" w14:textId="75C86564" w:rsidR="00ED1EAF" w:rsidRPr="0036044B" w:rsidRDefault="00ED1EAF" w:rsidP="002C66B0">
      <w:pPr>
        <w:spacing w:before="160" w:after="240"/>
        <w:rPr>
          <w:rFonts w:eastAsiaTheme="minorHAnsi"/>
          <w:b/>
          <w:color w:val="000000"/>
        </w:rPr>
      </w:pPr>
    </w:p>
    <w:sectPr w:rsidR="00ED1EAF" w:rsidRPr="0036044B" w:rsidSect="00961D3B">
      <w:footerReference w:type="even" r:id="rId10"/>
      <w:footerReference w:type="default" r:id="rId11"/>
      <w:pgSz w:w="12240" w:h="15840"/>
      <w:pgMar w:top="737" w:right="851" w:bottom="0"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CBA6DD" w14:textId="77777777" w:rsidR="008873F6" w:rsidRDefault="008873F6">
      <w:r>
        <w:separator/>
      </w:r>
    </w:p>
  </w:endnote>
  <w:endnote w:type="continuationSeparator" w:id="0">
    <w:p w14:paraId="74BB1CD3" w14:textId="77777777" w:rsidR="008873F6" w:rsidRDefault="00887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78418" w14:textId="77777777" w:rsidR="00EA23CB" w:rsidRDefault="00670C79" w:rsidP="00AC7A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0733C72" w14:textId="77777777" w:rsidR="00EA23CB" w:rsidRDefault="00000000" w:rsidP="001C581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42F9A" w14:textId="77777777" w:rsidR="00EA23CB" w:rsidRDefault="00000000" w:rsidP="001C581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CF0B4" w14:textId="77777777" w:rsidR="008873F6" w:rsidRDefault="008873F6">
      <w:r>
        <w:separator/>
      </w:r>
    </w:p>
  </w:footnote>
  <w:footnote w:type="continuationSeparator" w:id="0">
    <w:p w14:paraId="08C88748" w14:textId="77777777" w:rsidR="008873F6" w:rsidRDefault="008873F6">
      <w:r>
        <w:continuationSeparator/>
      </w:r>
    </w:p>
  </w:footnote>
  <w:footnote w:id="1">
    <w:p w14:paraId="7B0C00F0" w14:textId="77777777" w:rsidR="009545F6" w:rsidRDefault="009545F6" w:rsidP="009545F6">
      <w:pPr>
        <w:pStyle w:val="FootnoteText"/>
        <w:jc w:val="both"/>
      </w:pPr>
      <w:r>
        <w:rPr>
          <w:rStyle w:val="FootnoteReference"/>
          <w:rFonts w:ascii="Arial" w:hAnsi="Arial"/>
        </w:rPr>
        <w:footnoteRef/>
      </w:r>
      <w:r>
        <w:t xml:space="preserve"> </w:t>
      </w:r>
      <w:proofErr w:type="spellStart"/>
      <w:r>
        <w:t>Acest</w:t>
      </w:r>
      <w:proofErr w:type="spellEnd"/>
      <w:r>
        <w:t xml:space="preserve"> </w:t>
      </w:r>
      <w:proofErr w:type="spellStart"/>
      <w:r>
        <w:t>scenariu</w:t>
      </w:r>
      <w:proofErr w:type="spellEnd"/>
      <w:r>
        <w:t xml:space="preserve"> a </w:t>
      </w:r>
      <w:proofErr w:type="spellStart"/>
      <w:r>
        <w:t>fost</w:t>
      </w:r>
      <w:proofErr w:type="spellEnd"/>
      <w:r>
        <w:t xml:space="preserve"> </w:t>
      </w:r>
      <w:proofErr w:type="spellStart"/>
      <w:r>
        <w:t>unul</w:t>
      </w:r>
      <w:proofErr w:type="spellEnd"/>
      <w:r>
        <w:t xml:space="preserve"> </w:t>
      </w:r>
      <w:proofErr w:type="spellStart"/>
      <w:r>
        <w:t>preliminar</w:t>
      </w:r>
      <w:proofErr w:type="spellEnd"/>
      <w:r>
        <w:t xml:space="preserve">, </w:t>
      </w:r>
      <w:proofErr w:type="spellStart"/>
      <w:r>
        <w:t>neprejudiciind</w:t>
      </w:r>
      <w:proofErr w:type="spellEnd"/>
      <w:r>
        <w:t xml:space="preserve"> </w:t>
      </w:r>
      <w:proofErr w:type="spellStart"/>
      <w:r>
        <w:t>eventualele</w:t>
      </w:r>
      <w:proofErr w:type="spellEnd"/>
      <w:r>
        <w:t xml:space="preserve"> </w:t>
      </w:r>
      <w:proofErr w:type="spellStart"/>
      <w:r>
        <w:t>modificări</w:t>
      </w:r>
      <w:proofErr w:type="spellEnd"/>
      <w:r>
        <w:t xml:space="preserve"> </w:t>
      </w:r>
      <w:proofErr w:type="spellStart"/>
      <w:r>
        <w:t>în</w:t>
      </w:r>
      <w:proofErr w:type="spellEnd"/>
      <w:r>
        <w:t xml:space="preserve"> </w:t>
      </w:r>
      <w:proofErr w:type="spellStart"/>
      <w:r>
        <w:t>profilul</w:t>
      </w:r>
      <w:proofErr w:type="spellEnd"/>
      <w:r>
        <w:t xml:space="preserve"> </w:t>
      </w:r>
      <w:proofErr w:type="spellStart"/>
      <w:r>
        <w:t>anual</w:t>
      </w:r>
      <w:proofErr w:type="spellEnd"/>
      <w:r>
        <w:t xml:space="preserve"> al </w:t>
      </w:r>
      <w:proofErr w:type="spellStart"/>
      <w:r>
        <w:t>granturilor</w:t>
      </w:r>
      <w:proofErr w:type="spellEnd"/>
      <w:r>
        <w:t xml:space="preserve"> </w:t>
      </w:r>
      <w:proofErr w:type="spellStart"/>
      <w:r>
        <w:t>și</w:t>
      </w:r>
      <w:proofErr w:type="spellEnd"/>
      <w:r>
        <w:t xml:space="preserve"> a </w:t>
      </w:r>
      <w:proofErr w:type="spellStart"/>
      <w:r>
        <w:t>împrumuturilor</w:t>
      </w:r>
      <w:proofErr w:type="spellEnd"/>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1116"/>
    <w:multiLevelType w:val="hybridMultilevel"/>
    <w:tmpl w:val="36363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D465A5"/>
    <w:multiLevelType w:val="hybridMultilevel"/>
    <w:tmpl w:val="55CA82F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0DA3863"/>
    <w:multiLevelType w:val="hybridMultilevel"/>
    <w:tmpl w:val="8F3EDD4E"/>
    <w:lvl w:ilvl="0" w:tplc="FF4228E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C52885"/>
    <w:multiLevelType w:val="hybridMultilevel"/>
    <w:tmpl w:val="228A6CCC"/>
    <w:lvl w:ilvl="0" w:tplc="788AA9C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A3487A"/>
    <w:multiLevelType w:val="hybridMultilevel"/>
    <w:tmpl w:val="76A40B7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C5E3BB0"/>
    <w:multiLevelType w:val="hybridMultilevel"/>
    <w:tmpl w:val="81C2583E"/>
    <w:lvl w:ilvl="0" w:tplc="0D6C67E0">
      <w:start w:val="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3352AF1"/>
    <w:multiLevelType w:val="multilevel"/>
    <w:tmpl w:val="48A66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4E744A6"/>
    <w:multiLevelType w:val="hybridMultilevel"/>
    <w:tmpl w:val="BB1E16F8"/>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6D1365F"/>
    <w:multiLevelType w:val="hybridMultilevel"/>
    <w:tmpl w:val="5764217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48756590"/>
    <w:multiLevelType w:val="hybridMultilevel"/>
    <w:tmpl w:val="2B84D92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48D25E0F"/>
    <w:multiLevelType w:val="hybridMultilevel"/>
    <w:tmpl w:val="5E4E70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FD28B7"/>
    <w:multiLevelType w:val="multilevel"/>
    <w:tmpl w:val="B778E6D8"/>
    <w:lvl w:ilvl="0">
      <w:start w:val="1"/>
      <w:numFmt w:val="upperRoman"/>
      <w:lvlText w:val="%1."/>
      <w:lvlJc w:val="right"/>
      <w:pPr>
        <w:ind w:left="720" w:hanging="360"/>
      </w:pPr>
      <w:rPr>
        <w:rFonts w:cs="Times New Roman"/>
        <w:strike w:val="0"/>
        <w:dstrike w:val="0"/>
        <w:u w:val="none"/>
        <w:effect w:val="none"/>
      </w:rPr>
    </w:lvl>
    <w:lvl w:ilvl="1">
      <w:start w:val="1"/>
      <w:numFmt w:val="upperLetter"/>
      <w:pStyle w:val="ListaA"/>
      <w:lvlText w:val="%2."/>
      <w:lvlJc w:val="left"/>
      <w:pPr>
        <w:ind w:left="1440" w:hanging="360"/>
      </w:pPr>
      <w:rPr>
        <w:strike w:val="0"/>
        <w:dstrike w:val="0"/>
        <w:color w:val="auto"/>
        <w:u w:val="none"/>
        <w:effect w:val="none"/>
      </w:rPr>
    </w:lvl>
    <w:lvl w:ilvl="2">
      <w:start w:val="1"/>
      <w:numFmt w:val="decimal"/>
      <w:lvlText w:val="%3."/>
      <w:lvlJc w:val="left"/>
      <w:pPr>
        <w:ind w:left="2160" w:hanging="360"/>
      </w:pPr>
      <w:rPr>
        <w:rFonts w:cs="Times New Roman"/>
        <w:strike w:val="0"/>
        <w:dstrike w:val="0"/>
        <w:u w:val="none"/>
        <w:effect w:val="none"/>
      </w:rPr>
    </w:lvl>
    <w:lvl w:ilvl="3">
      <w:start w:val="1"/>
      <w:numFmt w:val="lowerLetter"/>
      <w:lvlText w:val="%4)"/>
      <w:lvlJc w:val="left"/>
      <w:pPr>
        <w:ind w:left="2880" w:hanging="360"/>
      </w:pPr>
      <w:rPr>
        <w:rFonts w:cs="Times New Roman"/>
        <w:strike w:val="0"/>
        <w:dstrike w:val="0"/>
        <w:u w:val="none"/>
        <w:effect w:val="none"/>
      </w:rPr>
    </w:lvl>
    <w:lvl w:ilvl="4">
      <w:start w:val="1"/>
      <w:numFmt w:val="decimal"/>
      <w:lvlText w:val="(%5)"/>
      <w:lvlJc w:val="left"/>
      <w:pPr>
        <w:ind w:left="3600" w:hanging="360"/>
      </w:pPr>
      <w:rPr>
        <w:rFonts w:cs="Times New Roman"/>
        <w:strike w:val="0"/>
        <w:dstrike w:val="0"/>
        <w:u w:val="none"/>
        <w:effect w:val="none"/>
      </w:rPr>
    </w:lvl>
    <w:lvl w:ilvl="5">
      <w:start w:val="1"/>
      <w:numFmt w:val="lowerLetter"/>
      <w:lvlText w:val="(%6)"/>
      <w:lvlJc w:val="left"/>
      <w:pPr>
        <w:ind w:left="4320" w:hanging="360"/>
      </w:pPr>
      <w:rPr>
        <w:rFonts w:cs="Times New Roman"/>
        <w:strike w:val="0"/>
        <w:dstrike w:val="0"/>
        <w:u w:val="none"/>
        <w:effect w:val="none"/>
      </w:rPr>
    </w:lvl>
    <w:lvl w:ilvl="6">
      <w:start w:val="1"/>
      <w:numFmt w:val="lowerRoman"/>
      <w:lvlText w:val="(%7)"/>
      <w:lvlJc w:val="right"/>
      <w:pPr>
        <w:ind w:left="5040" w:hanging="360"/>
      </w:pPr>
      <w:rPr>
        <w:rFonts w:cs="Times New Roman"/>
        <w:strike w:val="0"/>
        <w:dstrike w:val="0"/>
        <w:u w:val="none"/>
        <w:effect w:val="none"/>
      </w:rPr>
    </w:lvl>
    <w:lvl w:ilvl="7">
      <w:start w:val="1"/>
      <w:numFmt w:val="lowerLetter"/>
      <w:lvlText w:val="(%8)"/>
      <w:lvlJc w:val="left"/>
      <w:pPr>
        <w:ind w:left="5760" w:hanging="360"/>
      </w:pPr>
      <w:rPr>
        <w:rFonts w:cs="Times New Roman"/>
        <w:strike w:val="0"/>
        <w:dstrike w:val="0"/>
        <w:u w:val="none"/>
        <w:effect w:val="none"/>
      </w:rPr>
    </w:lvl>
    <w:lvl w:ilvl="8">
      <w:start w:val="1"/>
      <w:numFmt w:val="lowerRoman"/>
      <w:lvlText w:val="(%9)"/>
      <w:lvlJc w:val="right"/>
      <w:pPr>
        <w:ind w:left="6480" w:hanging="360"/>
      </w:pPr>
      <w:rPr>
        <w:rFonts w:cs="Times New Roman"/>
        <w:strike w:val="0"/>
        <w:dstrike w:val="0"/>
        <w:u w:val="none"/>
        <w:effect w:val="none"/>
      </w:rPr>
    </w:lvl>
  </w:abstractNum>
  <w:abstractNum w:abstractNumId="12" w15:restartNumberingAfterBreak="0">
    <w:nsid w:val="5E1D40AD"/>
    <w:multiLevelType w:val="hybridMultilevel"/>
    <w:tmpl w:val="EFF2C32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EA631FA"/>
    <w:multiLevelType w:val="hybridMultilevel"/>
    <w:tmpl w:val="D68EB3A2"/>
    <w:lvl w:ilvl="0" w:tplc="EE5621E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77332318"/>
    <w:multiLevelType w:val="multilevel"/>
    <w:tmpl w:val="8B20B748"/>
    <w:lvl w:ilvl="0">
      <w:start w:val="1"/>
      <w:numFmt w:val="upperRoman"/>
      <w:pStyle w:val="ListaCifreRomane"/>
      <w:lvlText w:val="%1."/>
      <w:lvlJc w:val="right"/>
      <w:pPr>
        <w:ind w:left="720" w:hanging="360"/>
      </w:pPr>
      <w:rPr>
        <w:strike w:val="0"/>
        <w:dstrike w:val="0"/>
        <w:color w:val="auto"/>
        <w:u w:val="none"/>
        <w:effect w:val="none"/>
      </w:rPr>
    </w:lvl>
    <w:lvl w:ilvl="1">
      <w:start w:val="1"/>
      <w:numFmt w:val="upperLetter"/>
      <w:lvlText w:val="%2."/>
      <w:lvlJc w:val="left"/>
      <w:pPr>
        <w:ind w:left="1440" w:hanging="360"/>
      </w:pPr>
      <w:rPr>
        <w:rFonts w:cs="Times New Roman"/>
        <w:strike w:val="0"/>
        <w:dstrike w:val="0"/>
        <w:u w:val="none"/>
        <w:effect w:val="none"/>
      </w:rPr>
    </w:lvl>
    <w:lvl w:ilvl="2">
      <w:start w:val="1"/>
      <w:numFmt w:val="decimal"/>
      <w:lvlText w:val="%3."/>
      <w:lvlJc w:val="left"/>
      <w:pPr>
        <w:ind w:left="2160" w:hanging="360"/>
      </w:pPr>
      <w:rPr>
        <w:rFonts w:cs="Times New Roman"/>
        <w:strike w:val="0"/>
        <w:dstrike w:val="0"/>
        <w:u w:val="none"/>
        <w:effect w:val="none"/>
      </w:rPr>
    </w:lvl>
    <w:lvl w:ilvl="3">
      <w:start w:val="1"/>
      <w:numFmt w:val="lowerLetter"/>
      <w:lvlText w:val="%4)"/>
      <w:lvlJc w:val="left"/>
      <w:pPr>
        <w:ind w:left="2880" w:hanging="360"/>
      </w:pPr>
      <w:rPr>
        <w:rFonts w:cs="Times New Roman"/>
        <w:strike w:val="0"/>
        <w:dstrike w:val="0"/>
        <w:u w:val="none"/>
        <w:effect w:val="none"/>
      </w:rPr>
    </w:lvl>
    <w:lvl w:ilvl="4">
      <w:start w:val="1"/>
      <w:numFmt w:val="decimal"/>
      <w:lvlText w:val="(%5)"/>
      <w:lvlJc w:val="left"/>
      <w:pPr>
        <w:ind w:left="3600" w:hanging="360"/>
      </w:pPr>
      <w:rPr>
        <w:rFonts w:cs="Times New Roman"/>
        <w:strike w:val="0"/>
        <w:dstrike w:val="0"/>
        <w:u w:val="none"/>
        <w:effect w:val="none"/>
      </w:rPr>
    </w:lvl>
    <w:lvl w:ilvl="5">
      <w:start w:val="1"/>
      <w:numFmt w:val="lowerLetter"/>
      <w:lvlText w:val="(%6)"/>
      <w:lvlJc w:val="left"/>
      <w:pPr>
        <w:ind w:left="4320" w:hanging="360"/>
      </w:pPr>
      <w:rPr>
        <w:rFonts w:cs="Times New Roman"/>
        <w:strike w:val="0"/>
        <w:dstrike w:val="0"/>
        <w:u w:val="none"/>
        <w:effect w:val="none"/>
      </w:rPr>
    </w:lvl>
    <w:lvl w:ilvl="6">
      <w:start w:val="1"/>
      <w:numFmt w:val="lowerRoman"/>
      <w:lvlText w:val="(%7)"/>
      <w:lvlJc w:val="right"/>
      <w:pPr>
        <w:ind w:left="5040" w:hanging="360"/>
      </w:pPr>
      <w:rPr>
        <w:rFonts w:cs="Times New Roman"/>
        <w:strike w:val="0"/>
        <w:dstrike w:val="0"/>
        <w:u w:val="none"/>
        <w:effect w:val="none"/>
      </w:rPr>
    </w:lvl>
    <w:lvl w:ilvl="7">
      <w:start w:val="1"/>
      <w:numFmt w:val="lowerLetter"/>
      <w:lvlText w:val="(%8)"/>
      <w:lvlJc w:val="left"/>
      <w:pPr>
        <w:ind w:left="5760" w:hanging="360"/>
      </w:pPr>
      <w:rPr>
        <w:rFonts w:cs="Times New Roman"/>
        <w:strike w:val="0"/>
        <w:dstrike w:val="0"/>
        <w:u w:val="none"/>
        <w:effect w:val="none"/>
      </w:rPr>
    </w:lvl>
    <w:lvl w:ilvl="8">
      <w:start w:val="1"/>
      <w:numFmt w:val="lowerRoman"/>
      <w:lvlText w:val="(%9)"/>
      <w:lvlJc w:val="right"/>
      <w:pPr>
        <w:ind w:left="6480" w:hanging="360"/>
      </w:pPr>
      <w:rPr>
        <w:rFonts w:cs="Times New Roman"/>
        <w:strike w:val="0"/>
        <w:dstrike w:val="0"/>
        <w:u w:val="none"/>
        <w:effect w:val="none"/>
      </w:rPr>
    </w:lvl>
  </w:abstractNum>
  <w:abstractNum w:abstractNumId="15" w15:restartNumberingAfterBreak="0">
    <w:nsid w:val="78AF1295"/>
    <w:multiLevelType w:val="hybridMultilevel"/>
    <w:tmpl w:val="0CF8FBF8"/>
    <w:lvl w:ilvl="0" w:tplc="0409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6" w15:restartNumberingAfterBreak="0">
    <w:nsid w:val="79B149B5"/>
    <w:multiLevelType w:val="hybridMultilevel"/>
    <w:tmpl w:val="C32CF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D587E24"/>
    <w:multiLevelType w:val="hybridMultilevel"/>
    <w:tmpl w:val="84C4FC18"/>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num w:numId="1" w16cid:durableId="776876125">
    <w:abstractNumId w:val="1"/>
  </w:num>
  <w:num w:numId="2" w16cid:durableId="1521315344">
    <w:abstractNumId w:val="17"/>
  </w:num>
  <w:num w:numId="3" w16cid:durableId="150415979">
    <w:abstractNumId w:val="13"/>
  </w:num>
  <w:num w:numId="4" w16cid:durableId="570311257">
    <w:abstractNumId w:val="2"/>
  </w:num>
  <w:num w:numId="5" w16cid:durableId="1551724737">
    <w:abstractNumId w:val="6"/>
  </w:num>
  <w:num w:numId="6" w16cid:durableId="2120101150">
    <w:abstractNumId w:val="16"/>
  </w:num>
  <w:num w:numId="7" w16cid:durableId="1180242097">
    <w:abstractNumId w:val="5"/>
  </w:num>
  <w:num w:numId="8" w16cid:durableId="3644026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7149517">
    <w:abstractNumId w:val="15"/>
  </w:num>
  <w:num w:numId="10" w16cid:durableId="1734111031">
    <w:abstractNumId w:val="12"/>
  </w:num>
  <w:num w:numId="11" w16cid:durableId="1386487417">
    <w:abstractNumId w:val="8"/>
  </w:num>
  <w:num w:numId="12" w16cid:durableId="1176845819">
    <w:abstractNumId w:val="4"/>
  </w:num>
  <w:num w:numId="13" w16cid:durableId="88738645">
    <w:abstractNumId w:val="3"/>
  </w:num>
  <w:num w:numId="14" w16cid:durableId="1142696649">
    <w:abstractNumId w:val="7"/>
  </w:num>
  <w:num w:numId="15" w16cid:durableId="691537890">
    <w:abstractNumId w:val="0"/>
  </w:num>
  <w:num w:numId="16" w16cid:durableId="1747070553">
    <w:abstractNumId w:val="10"/>
  </w:num>
  <w:num w:numId="17" w16cid:durableId="776411397">
    <w:abstractNumId w:val="14"/>
  </w:num>
  <w:num w:numId="18" w16cid:durableId="73493199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55503073">
    <w:abstractNumId w:val="11"/>
  </w:num>
  <w:num w:numId="20" w16cid:durableId="84436825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6766119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3186494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7EA6"/>
    <w:rsid w:val="000019B6"/>
    <w:rsid w:val="00002E4A"/>
    <w:rsid w:val="000040A1"/>
    <w:rsid w:val="000042B4"/>
    <w:rsid w:val="00006F20"/>
    <w:rsid w:val="0000707B"/>
    <w:rsid w:val="0001318A"/>
    <w:rsid w:val="00013621"/>
    <w:rsid w:val="0001442E"/>
    <w:rsid w:val="000155D5"/>
    <w:rsid w:val="000160F3"/>
    <w:rsid w:val="00017D04"/>
    <w:rsid w:val="0002299E"/>
    <w:rsid w:val="00024F37"/>
    <w:rsid w:val="00025015"/>
    <w:rsid w:val="000260DD"/>
    <w:rsid w:val="000265F7"/>
    <w:rsid w:val="00026B13"/>
    <w:rsid w:val="00027469"/>
    <w:rsid w:val="00031D8D"/>
    <w:rsid w:val="0003205B"/>
    <w:rsid w:val="00035D17"/>
    <w:rsid w:val="000369EF"/>
    <w:rsid w:val="00040B7B"/>
    <w:rsid w:val="00043471"/>
    <w:rsid w:val="00043911"/>
    <w:rsid w:val="00044209"/>
    <w:rsid w:val="0004452D"/>
    <w:rsid w:val="00044D39"/>
    <w:rsid w:val="00046B44"/>
    <w:rsid w:val="000503A8"/>
    <w:rsid w:val="00054869"/>
    <w:rsid w:val="00054DF8"/>
    <w:rsid w:val="000563C0"/>
    <w:rsid w:val="00057629"/>
    <w:rsid w:val="00057EC8"/>
    <w:rsid w:val="00060E2F"/>
    <w:rsid w:val="00061E6F"/>
    <w:rsid w:val="0006216F"/>
    <w:rsid w:val="00062BA0"/>
    <w:rsid w:val="0006409E"/>
    <w:rsid w:val="00064A6B"/>
    <w:rsid w:val="00064E28"/>
    <w:rsid w:val="00066350"/>
    <w:rsid w:val="00070830"/>
    <w:rsid w:val="00073195"/>
    <w:rsid w:val="000733D3"/>
    <w:rsid w:val="0007609F"/>
    <w:rsid w:val="00076C55"/>
    <w:rsid w:val="000808EE"/>
    <w:rsid w:val="00081475"/>
    <w:rsid w:val="00083DB6"/>
    <w:rsid w:val="00083EAF"/>
    <w:rsid w:val="0008463B"/>
    <w:rsid w:val="00084EE5"/>
    <w:rsid w:val="00084F56"/>
    <w:rsid w:val="00085904"/>
    <w:rsid w:val="00086114"/>
    <w:rsid w:val="00086663"/>
    <w:rsid w:val="0008730B"/>
    <w:rsid w:val="00087383"/>
    <w:rsid w:val="00087C48"/>
    <w:rsid w:val="00090676"/>
    <w:rsid w:val="0009222E"/>
    <w:rsid w:val="00092376"/>
    <w:rsid w:val="0009320D"/>
    <w:rsid w:val="00094481"/>
    <w:rsid w:val="000949D2"/>
    <w:rsid w:val="00094AE3"/>
    <w:rsid w:val="00095300"/>
    <w:rsid w:val="0009621B"/>
    <w:rsid w:val="000A06E8"/>
    <w:rsid w:val="000A437E"/>
    <w:rsid w:val="000A6298"/>
    <w:rsid w:val="000A71F1"/>
    <w:rsid w:val="000B036B"/>
    <w:rsid w:val="000B1818"/>
    <w:rsid w:val="000B391A"/>
    <w:rsid w:val="000B3D76"/>
    <w:rsid w:val="000B4945"/>
    <w:rsid w:val="000B55D8"/>
    <w:rsid w:val="000B650E"/>
    <w:rsid w:val="000B665D"/>
    <w:rsid w:val="000B7506"/>
    <w:rsid w:val="000B753E"/>
    <w:rsid w:val="000C3277"/>
    <w:rsid w:val="000C3586"/>
    <w:rsid w:val="000C3625"/>
    <w:rsid w:val="000C4A4F"/>
    <w:rsid w:val="000C54A4"/>
    <w:rsid w:val="000C614B"/>
    <w:rsid w:val="000C687D"/>
    <w:rsid w:val="000C7D63"/>
    <w:rsid w:val="000C7EAF"/>
    <w:rsid w:val="000C7EEC"/>
    <w:rsid w:val="000D0889"/>
    <w:rsid w:val="000D21F9"/>
    <w:rsid w:val="000D23B9"/>
    <w:rsid w:val="000D2B20"/>
    <w:rsid w:val="000D315E"/>
    <w:rsid w:val="000D403B"/>
    <w:rsid w:val="000D4132"/>
    <w:rsid w:val="000D4C09"/>
    <w:rsid w:val="000D69AF"/>
    <w:rsid w:val="000E0EA4"/>
    <w:rsid w:val="000E2C2D"/>
    <w:rsid w:val="000E3A58"/>
    <w:rsid w:val="000E6FCF"/>
    <w:rsid w:val="000E74F5"/>
    <w:rsid w:val="000F26C2"/>
    <w:rsid w:val="000F40EF"/>
    <w:rsid w:val="000F6105"/>
    <w:rsid w:val="000F7896"/>
    <w:rsid w:val="00100251"/>
    <w:rsid w:val="00101A9B"/>
    <w:rsid w:val="001023B0"/>
    <w:rsid w:val="0010482B"/>
    <w:rsid w:val="00105808"/>
    <w:rsid w:val="001067AA"/>
    <w:rsid w:val="00106FB3"/>
    <w:rsid w:val="00106FE8"/>
    <w:rsid w:val="00107736"/>
    <w:rsid w:val="00107740"/>
    <w:rsid w:val="001077E3"/>
    <w:rsid w:val="00107E28"/>
    <w:rsid w:val="001110C2"/>
    <w:rsid w:val="00112E9E"/>
    <w:rsid w:val="001147BA"/>
    <w:rsid w:val="0011501B"/>
    <w:rsid w:val="00115083"/>
    <w:rsid w:val="00115131"/>
    <w:rsid w:val="00121CCC"/>
    <w:rsid w:val="001250F7"/>
    <w:rsid w:val="00125245"/>
    <w:rsid w:val="00126BBF"/>
    <w:rsid w:val="00130ADF"/>
    <w:rsid w:val="00131281"/>
    <w:rsid w:val="001313D8"/>
    <w:rsid w:val="0013230E"/>
    <w:rsid w:val="00133A3B"/>
    <w:rsid w:val="0013619D"/>
    <w:rsid w:val="0013676D"/>
    <w:rsid w:val="00137A13"/>
    <w:rsid w:val="001459BC"/>
    <w:rsid w:val="0014608E"/>
    <w:rsid w:val="0014728C"/>
    <w:rsid w:val="001500EA"/>
    <w:rsid w:val="00152085"/>
    <w:rsid w:val="001528E8"/>
    <w:rsid w:val="00153B2A"/>
    <w:rsid w:val="0015446A"/>
    <w:rsid w:val="001544DC"/>
    <w:rsid w:val="0015762E"/>
    <w:rsid w:val="00157B5B"/>
    <w:rsid w:val="00160148"/>
    <w:rsid w:val="00161A61"/>
    <w:rsid w:val="00164F79"/>
    <w:rsid w:val="00164FF3"/>
    <w:rsid w:val="00165A07"/>
    <w:rsid w:val="00165C92"/>
    <w:rsid w:val="00165D35"/>
    <w:rsid w:val="0016702F"/>
    <w:rsid w:val="0016785A"/>
    <w:rsid w:val="00167EF9"/>
    <w:rsid w:val="0017030A"/>
    <w:rsid w:val="00170D4E"/>
    <w:rsid w:val="00172493"/>
    <w:rsid w:val="00173986"/>
    <w:rsid w:val="0017630C"/>
    <w:rsid w:val="001776C1"/>
    <w:rsid w:val="00177CD3"/>
    <w:rsid w:val="00177EC3"/>
    <w:rsid w:val="00180B7B"/>
    <w:rsid w:val="00181323"/>
    <w:rsid w:val="0018173D"/>
    <w:rsid w:val="00181DB6"/>
    <w:rsid w:val="0019189C"/>
    <w:rsid w:val="001919CC"/>
    <w:rsid w:val="0019387C"/>
    <w:rsid w:val="001945C9"/>
    <w:rsid w:val="001A0854"/>
    <w:rsid w:val="001A0AEA"/>
    <w:rsid w:val="001A1AA3"/>
    <w:rsid w:val="001A1AE5"/>
    <w:rsid w:val="001A1D31"/>
    <w:rsid w:val="001A2A6E"/>
    <w:rsid w:val="001A374F"/>
    <w:rsid w:val="001A4420"/>
    <w:rsid w:val="001A78A0"/>
    <w:rsid w:val="001A7C31"/>
    <w:rsid w:val="001B1912"/>
    <w:rsid w:val="001B1AD6"/>
    <w:rsid w:val="001B22B4"/>
    <w:rsid w:val="001B22D1"/>
    <w:rsid w:val="001B23D0"/>
    <w:rsid w:val="001B2B36"/>
    <w:rsid w:val="001B3B27"/>
    <w:rsid w:val="001B4FE1"/>
    <w:rsid w:val="001B6DD8"/>
    <w:rsid w:val="001B7961"/>
    <w:rsid w:val="001C2EA5"/>
    <w:rsid w:val="001C33B5"/>
    <w:rsid w:val="001C3EF4"/>
    <w:rsid w:val="001C4735"/>
    <w:rsid w:val="001C55B8"/>
    <w:rsid w:val="001C6BF4"/>
    <w:rsid w:val="001C7510"/>
    <w:rsid w:val="001C7F48"/>
    <w:rsid w:val="001D0467"/>
    <w:rsid w:val="001D7448"/>
    <w:rsid w:val="001E058E"/>
    <w:rsid w:val="001E0BD4"/>
    <w:rsid w:val="001E0D0D"/>
    <w:rsid w:val="001E10D6"/>
    <w:rsid w:val="001E11B1"/>
    <w:rsid w:val="001E2092"/>
    <w:rsid w:val="001E236E"/>
    <w:rsid w:val="001E5470"/>
    <w:rsid w:val="001E55B3"/>
    <w:rsid w:val="001E69E4"/>
    <w:rsid w:val="001E6A4B"/>
    <w:rsid w:val="001E708B"/>
    <w:rsid w:val="001E7255"/>
    <w:rsid w:val="001F14A2"/>
    <w:rsid w:val="001F1E7E"/>
    <w:rsid w:val="001F418F"/>
    <w:rsid w:val="001F6D5C"/>
    <w:rsid w:val="001F700D"/>
    <w:rsid w:val="001F7034"/>
    <w:rsid w:val="001F733F"/>
    <w:rsid w:val="00200720"/>
    <w:rsid w:val="00210E9C"/>
    <w:rsid w:val="00211627"/>
    <w:rsid w:val="002116FE"/>
    <w:rsid w:val="00213877"/>
    <w:rsid w:val="00213BDB"/>
    <w:rsid w:val="002153E2"/>
    <w:rsid w:val="00217238"/>
    <w:rsid w:val="00217BF3"/>
    <w:rsid w:val="00220BDB"/>
    <w:rsid w:val="00221126"/>
    <w:rsid w:val="00221987"/>
    <w:rsid w:val="00221B2B"/>
    <w:rsid w:val="00223491"/>
    <w:rsid w:val="00223AFB"/>
    <w:rsid w:val="00225653"/>
    <w:rsid w:val="00227A62"/>
    <w:rsid w:val="00230EAE"/>
    <w:rsid w:val="00231324"/>
    <w:rsid w:val="00231F26"/>
    <w:rsid w:val="00232ED4"/>
    <w:rsid w:val="0023360D"/>
    <w:rsid w:val="002337CA"/>
    <w:rsid w:val="00233A87"/>
    <w:rsid w:val="00233D49"/>
    <w:rsid w:val="0023404B"/>
    <w:rsid w:val="002348DD"/>
    <w:rsid w:val="00234AB0"/>
    <w:rsid w:val="00234B65"/>
    <w:rsid w:val="002354D3"/>
    <w:rsid w:val="002404DC"/>
    <w:rsid w:val="002404F7"/>
    <w:rsid w:val="00244CF8"/>
    <w:rsid w:val="00250C5C"/>
    <w:rsid w:val="00251605"/>
    <w:rsid w:val="00256383"/>
    <w:rsid w:val="0025682E"/>
    <w:rsid w:val="00260E13"/>
    <w:rsid w:val="002623AD"/>
    <w:rsid w:val="00262462"/>
    <w:rsid w:val="0026264B"/>
    <w:rsid w:val="00262AAC"/>
    <w:rsid w:val="00262CFA"/>
    <w:rsid w:val="00267571"/>
    <w:rsid w:val="00271D4C"/>
    <w:rsid w:val="00272D53"/>
    <w:rsid w:val="0027308F"/>
    <w:rsid w:val="00275947"/>
    <w:rsid w:val="00275D3D"/>
    <w:rsid w:val="00276B03"/>
    <w:rsid w:val="0027750A"/>
    <w:rsid w:val="00280BAF"/>
    <w:rsid w:val="00282E65"/>
    <w:rsid w:val="00283DDB"/>
    <w:rsid w:val="00284086"/>
    <w:rsid w:val="00286173"/>
    <w:rsid w:val="00286541"/>
    <w:rsid w:val="002869DC"/>
    <w:rsid w:val="00286DEC"/>
    <w:rsid w:val="00294152"/>
    <w:rsid w:val="0029430E"/>
    <w:rsid w:val="00294D46"/>
    <w:rsid w:val="002A409A"/>
    <w:rsid w:val="002A41C3"/>
    <w:rsid w:val="002A4A4D"/>
    <w:rsid w:val="002A7775"/>
    <w:rsid w:val="002A7B24"/>
    <w:rsid w:val="002B2155"/>
    <w:rsid w:val="002B28B0"/>
    <w:rsid w:val="002B2AD7"/>
    <w:rsid w:val="002B583C"/>
    <w:rsid w:val="002B689E"/>
    <w:rsid w:val="002B7888"/>
    <w:rsid w:val="002C122C"/>
    <w:rsid w:val="002C129E"/>
    <w:rsid w:val="002C1C7F"/>
    <w:rsid w:val="002C3361"/>
    <w:rsid w:val="002C37C4"/>
    <w:rsid w:val="002C4610"/>
    <w:rsid w:val="002C5396"/>
    <w:rsid w:val="002C66B0"/>
    <w:rsid w:val="002C6EEE"/>
    <w:rsid w:val="002D2048"/>
    <w:rsid w:val="002D214D"/>
    <w:rsid w:val="002D3A08"/>
    <w:rsid w:val="002D3CFD"/>
    <w:rsid w:val="002D519D"/>
    <w:rsid w:val="002D63DE"/>
    <w:rsid w:val="002E20A6"/>
    <w:rsid w:val="002E22BC"/>
    <w:rsid w:val="002E3AFC"/>
    <w:rsid w:val="002E3BEE"/>
    <w:rsid w:val="002E5329"/>
    <w:rsid w:val="002E5723"/>
    <w:rsid w:val="002E5889"/>
    <w:rsid w:val="002E6018"/>
    <w:rsid w:val="002E6BA8"/>
    <w:rsid w:val="002E7997"/>
    <w:rsid w:val="002E7E37"/>
    <w:rsid w:val="002F01BF"/>
    <w:rsid w:val="002F0CE9"/>
    <w:rsid w:val="002F1A5E"/>
    <w:rsid w:val="002F2645"/>
    <w:rsid w:val="002F36E2"/>
    <w:rsid w:val="002F4425"/>
    <w:rsid w:val="00300E1C"/>
    <w:rsid w:val="00302ADB"/>
    <w:rsid w:val="00302D6F"/>
    <w:rsid w:val="00302EF5"/>
    <w:rsid w:val="003034B1"/>
    <w:rsid w:val="00304361"/>
    <w:rsid w:val="00305061"/>
    <w:rsid w:val="0030581C"/>
    <w:rsid w:val="00305E5F"/>
    <w:rsid w:val="00306119"/>
    <w:rsid w:val="00310F95"/>
    <w:rsid w:val="00312439"/>
    <w:rsid w:val="003127E6"/>
    <w:rsid w:val="00312E6E"/>
    <w:rsid w:val="00312FF3"/>
    <w:rsid w:val="003138A1"/>
    <w:rsid w:val="00315CB8"/>
    <w:rsid w:val="003179ED"/>
    <w:rsid w:val="00320940"/>
    <w:rsid w:val="00322480"/>
    <w:rsid w:val="00324260"/>
    <w:rsid w:val="00324785"/>
    <w:rsid w:val="00324938"/>
    <w:rsid w:val="00325BC3"/>
    <w:rsid w:val="003278FD"/>
    <w:rsid w:val="00330048"/>
    <w:rsid w:val="00332715"/>
    <w:rsid w:val="00332FEB"/>
    <w:rsid w:val="00333084"/>
    <w:rsid w:val="00333AB9"/>
    <w:rsid w:val="003357CA"/>
    <w:rsid w:val="00335C69"/>
    <w:rsid w:val="003456BD"/>
    <w:rsid w:val="00345C6D"/>
    <w:rsid w:val="0034765C"/>
    <w:rsid w:val="003543EA"/>
    <w:rsid w:val="003545B2"/>
    <w:rsid w:val="003547E5"/>
    <w:rsid w:val="0035521E"/>
    <w:rsid w:val="00355320"/>
    <w:rsid w:val="00355C12"/>
    <w:rsid w:val="00356457"/>
    <w:rsid w:val="003569BD"/>
    <w:rsid w:val="00357FC9"/>
    <w:rsid w:val="0036044B"/>
    <w:rsid w:val="003605E7"/>
    <w:rsid w:val="0036135D"/>
    <w:rsid w:val="00365A86"/>
    <w:rsid w:val="00365DE7"/>
    <w:rsid w:val="003668CF"/>
    <w:rsid w:val="0037559F"/>
    <w:rsid w:val="00375B28"/>
    <w:rsid w:val="0037675E"/>
    <w:rsid w:val="00377E94"/>
    <w:rsid w:val="00381090"/>
    <w:rsid w:val="00381CD7"/>
    <w:rsid w:val="00385668"/>
    <w:rsid w:val="00385BC3"/>
    <w:rsid w:val="003864F6"/>
    <w:rsid w:val="00390E31"/>
    <w:rsid w:val="00391737"/>
    <w:rsid w:val="00392CF0"/>
    <w:rsid w:val="0039344D"/>
    <w:rsid w:val="00393638"/>
    <w:rsid w:val="00396A04"/>
    <w:rsid w:val="00397570"/>
    <w:rsid w:val="003A3349"/>
    <w:rsid w:val="003A367D"/>
    <w:rsid w:val="003A6698"/>
    <w:rsid w:val="003A7570"/>
    <w:rsid w:val="003A7CA2"/>
    <w:rsid w:val="003A7CC0"/>
    <w:rsid w:val="003B02B3"/>
    <w:rsid w:val="003B0C77"/>
    <w:rsid w:val="003B2329"/>
    <w:rsid w:val="003B3A2C"/>
    <w:rsid w:val="003B3F0B"/>
    <w:rsid w:val="003B424D"/>
    <w:rsid w:val="003B68CD"/>
    <w:rsid w:val="003B6E10"/>
    <w:rsid w:val="003C1670"/>
    <w:rsid w:val="003C19BF"/>
    <w:rsid w:val="003C4D24"/>
    <w:rsid w:val="003C56CF"/>
    <w:rsid w:val="003C6B82"/>
    <w:rsid w:val="003C6D3A"/>
    <w:rsid w:val="003D092D"/>
    <w:rsid w:val="003D4A34"/>
    <w:rsid w:val="003D6235"/>
    <w:rsid w:val="003D7A5A"/>
    <w:rsid w:val="003E080A"/>
    <w:rsid w:val="003E0917"/>
    <w:rsid w:val="003E358F"/>
    <w:rsid w:val="003E5FF2"/>
    <w:rsid w:val="003F046A"/>
    <w:rsid w:val="003F10F8"/>
    <w:rsid w:val="003F4EA4"/>
    <w:rsid w:val="003F5CF6"/>
    <w:rsid w:val="003F6ACA"/>
    <w:rsid w:val="003F7AF4"/>
    <w:rsid w:val="0040003B"/>
    <w:rsid w:val="004005AC"/>
    <w:rsid w:val="004007BE"/>
    <w:rsid w:val="00402A15"/>
    <w:rsid w:val="0040434F"/>
    <w:rsid w:val="00405F21"/>
    <w:rsid w:val="00406B07"/>
    <w:rsid w:val="00406FBE"/>
    <w:rsid w:val="0041039C"/>
    <w:rsid w:val="004162F1"/>
    <w:rsid w:val="0042197D"/>
    <w:rsid w:val="004248D9"/>
    <w:rsid w:val="00425D30"/>
    <w:rsid w:val="00426482"/>
    <w:rsid w:val="004268A6"/>
    <w:rsid w:val="00427CE2"/>
    <w:rsid w:val="00434D7D"/>
    <w:rsid w:val="004353EE"/>
    <w:rsid w:val="00435F83"/>
    <w:rsid w:val="004362A6"/>
    <w:rsid w:val="00440136"/>
    <w:rsid w:val="0044348E"/>
    <w:rsid w:val="004449A8"/>
    <w:rsid w:val="00445A50"/>
    <w:rsid w:val="00446A81"/>
    <w:rsid w:val="00446B21"/>
    <w:rsid w:val="00446C51"/>
    <w:rsid w:val="004472F0"/>
    <w:rsid w:val="004516D9"/>
    <w:rsid w:val="00454D72"/>
    <w:rsid w:val="004555DD"/>
    <w:rsid w:val="00455719"/>
    <w:rsid w:val="004561E9"/>
    <w:rsid w:val="004562CD"/>
    <w:rsid w:val="0045656F"/>
    <w:rsid w:val="00456611"/>
    <w:rsid w:val="00460CE3"/>
    <w:rsid w:val="00461DC3"/>
    <w:rsid w:val="0046279C"/>
    <w:rsid w:val="00462C37"/>
    <w:rsid w:val="00463434"/>
    <w:rsid w:val="00463E98"/>
    <w:rsid w:val="00464AED"/>
    <w:rsid w:val="0046568A"/>
    <w:rsid w:val="00473382"/>
    <w:rsid w:val="00473DA2"/>
    <w:rsid w:val="00475C30"/>
    <w:rsid w:val="0047738F"/>
    <w:rsid w:val="00477DA1"/>
    <w:rsid w:val="004803F0"/>
    <w:rsid w:val="004806BE"/>
    <w:rsid w:val="00481A82"/>
    <w:rsid w:val="00486DF5"/>
    <w:rsid w:val="00490610"/>
    <w:rsid w:val="00492D8F"/>
    <w:rsid w:val="00493464"/>
    <w:rsid w:val="004939DF"/>
    <w:rsid w:val="0049586B"/>
    <w:rsid w:val="00495918"/>
    <w:rsid w:val="00495B40"/>
    <w:rsid w:val="004A2289"/>
    <w:rsid w:val="004A26E1"/>
    <w:rsid w:val="004A39EE"/>
    <w:rsid w:val="004A51ED"/>
    <w:rsid w:val="004A5912"/>
    <w:rsid w:val="004A66B5"/>
    <w:rsid w:val="004A6FCC"/>
    <w:rsid w:val="004B13DF"/>
    <w:rsid w:val="004B1759"/>
    <w:rsid w:val="004B1ABD"/>
    <w:rsid w:val="004B23FC"/>
    <w:rsid w:val="004B254E"/>
    <w:rsid w:val="004B3C0A"/>
    <w:rsid w:val="004B3F38"/>
    <w:rsid w:val="004B64A6"/>
    <w:rsid w:val="004B7202"/>
    <w:rsid w:val="004B7CAD"/>
    <w:rsid w:val="004C0503"/>
    <w:rsid w:val="004C07F9"/>
    <w:rsid w:val="004C103A"/>
    <w:rsid w:val="004C1092"/>
    <w:rsid w:val="004C1338"/>
    <w:rsid w:val="004C7417"/>
    <w:rsid w:val="004D1B68"/>
    <w:rsid w:val="004D1FC0"/>
    <w:rsid w:val="004D210B"/>
    <w:rsid w:val="004D24D3"/>
    <w:rsid w:val="004D279E"/>
    <w:rsid w:val="004D27EE"/>
    <w:rsid w:val="004D434D"/>
    <w:rsid w:val="004D5BA3"/>
    <w:rsid w:val="004D6ABC"/>
    <w:rsid w:val="004E0E23"/>
    <w:rsid w:val="004E1034"/>
    <w:rsid w:val="004E13AF"/>
    <w:rsid w:val="004E2CA0"/>
    <w:rsid w:val="004E40FD"/>
    <w:rsid w:val="004E789F"/>
    <w:rsid w:val="004F0E4B"/>
    <w:rsid w:val="004F1FFD"/>
    <w:rsid w:val="004F49AA"/>
    <w:rsid w:val="004F521A"/>
    <w:rsid w:val="004F551E"/>
    <w:rsid w:val="005005B8"/>
    <w:rsid w:val="0050109F"/>
    <w:rsid w:val="00505AF3"/>
    <w:rsid w:val="005066F6"/>
    <w:rsid w:val="00515920"/>
    <w:rsid w:val="00515AD8"/>
    <w:rsid w:val="00515DE0"/>
    <w:rsid w:val="00520345"/>
    <w:rsid w:val="00520BE3"/>
    <w:rsid w:val="00522A8B"/>
    <w:rsid w:val="0052442F"/>
    <w:rsid w:val="00524BB2"/>
    <w:rsid w:val="00527866"/>
    <w:rsid w:val="00530AC8"/>
    <w:rsid w:val="0053145E"/>
    <w:rsid w:val="0053190B"/>
    <w:rsid w:val="005338D3"/>
    <w:rsid w:val="00533DD2"/>
    <w:rsid w:val="00533E19"/>
    <w:rsid w:val="0053559E"/>
    <w:rsid w:val="0053566B"/>
    <w:rsid w:val="00540381"/>
    <w:rsid w:val="00542411"/>
    <w:rsid w:val="00543A0A"/>
    <w:rsid w:val="005444AB"/>
    <w:rsid w:val="00546B5F"/>
    <w:rsid w:val="005514F5"/>
    <w:rsid w:val="00552EB0"/>
    <w:rsid w:val="00554716"/>
    <w:rsid w:val="00555D3D"/>
    <w:rsid w:val="00561803"/>
    <w:rsid w:val="00562652"/>
    <w:rsid w:val="0056358F"/>
    <w:rsid w:val="005649C0"/>
    <w:rsid w:val="00565752"/>
    <w:rsid w:val="00566969"/>
    <w:rsid w:val="00566EBF"/>
    <w:rsid w:val="00571569"/>
    <w:rsid w:val="00575BCE"/>
    <w:rsid w:val="00575BE0"/>
    <w:rsid w:val="0057730A"/>
    <w:rsid w:val="00577623"/>
    <w:rsid w:val="0058155C"/>
    <w:rsid w:val="00582047"/>
    <w:rsid w:val="00583D6C"/>
    <w:rsid w:val="00584568"/>
    <w:rsid w:val="00584BC8"/>
    <w:rsid w:val="00586890"/>
    <w:rsid w:val="005879AE"/>
    <w:rsid w:val="00591469"/>
    <w:rsid w:val="00595C2D"/>
    <w:rsid w:val="005966F6"/>
    <w:rsid w:val="0059789A"/>
    <w:rsid w:val="00597910"/>
    <w:rsid w:val="005A133E"/>
    <w:rsid w:val="005A13C5"/>
    <w:rsid w:val="005A1D6C"/>
    <w:rsid w:val="005A2F37"/>
    <w:rsid w:val="005A2FF2"/>
    <w:rsid w:val="005A47ED"/>
    <w:rsid w:val="005A506E"/>
    <w:rsid w:val="005A57E5"/>
    <w:rsid w:val="005A5A3E"/>
    <w:rsid w:val="005A5D29"/>
    <w:rsid w:val="005A7989"/>
    <w:rsid w:val="005B02AB"/>
    <w:rsid w:val="005B17BE"/>
    <w:rsid w:val="005B18ED"/>
    <w:rsid w:val="005B31F7"/>
    <w:rsid w:val="005B3992"/>
    <w:rsid w:val="005B3CAB"/>
    <w:rsid w:val="005B58FF"/>
    <w:rsid w:val="005B68C3"/>
    <w:rsid w:val="005B716F"/>
    <w:rsid w:val="005C204E"/>
    <w:rsid w:val="005C22D6"/>
    <w:rsid w:val="005C2F53"/>
    <w:rsid w:val="005C5DD4"/>
    <w:rsid w:val="005D0029"/>
    <w:rsid w:val="005D05C7"/>
    <w:rsid w:val="005D1889"/>
    <w:rsid w:val="005D33F6"/>
    <w:rsid w:val="005D3847"/>
    <w:rsid w:val="005D4320"/>
    <w:rsid w:val="005D4B0F"/>
    <w:rsid w:val="005D4F6E"/>
    <w:rsid w:val="005D66B3"/>
    <w:rsid w:val="005D6B6E"/>
    <w:rsid w:val="005E24DC"/>
    <w:rsid w:val="005E28B9"/>
    <w:rsid w:val="005E318B"/>
    <w:rsid w:val="005E34BD"/>
    <w:rsid w:val="005E494D"/>
    <w:rsid w:val="005E662E"/>
    <w:rsid w:val="005E6BD7"/>
    <w:rsid w:val="005E71B7"/>
    <w:rsid w:val="005F0EF5"/>
    <w:rsid w:val="005F27A0"/>
    <w:rsid w:val="005F2815"/>
    <w:rsid w:val="005F3164"/>
    <w:rsid w:val="005F3CF4"/>
    <w:rsid w:val="005F6E40"/>
    <w:rsid w:val="00601913"/>
    <w:rsid w:val="0060421A"/>
    <w:rsid w:val="00611340"/>
    <w:rsid w:val="00611644"/>
    <w:rsid w:val="0061330D"/>
    <w:rsid w:val="00615AA1"/>
    <w:rsid w:val="00615FE9"/>
    <w:rsid w:val="006174FC"/>
    <w:rsid w:val="0062007D"/>
    <w:rsid w:val="006234A3"/>
    <w:rsid w:val="00623B34"/>
    <w:rsid w:val="00624E3D"/>
    <w:rsid w:val="006259CC"/>
    <w:rsid w:val="006308CD"/>
    <w:rsid w:val="006314DE"/>
    <w:rsid w:val="00634816"/>
    <w:rsid w:val="00634CC1"/>
    <w:rsid w:val="00635197"/>
    <w:rsid w:val="0063636E"/>
    <w:rsid w:val="006363AA"/>
    <w:rsid w:val="0063758C"/>
    <w:rsid w:val="00637985"/>
    <w:rsid w:val="00642FB2"/>
    <w:rsid w:val="00643DFD"/>
    <w:rsid w:val="0064474A"/>
    <w:rsid w:val="006449AD"/>
    <w:rsid w:val="00644A56"/>
    <w:rsid w:val="00644DAA"/>
    <w:rsid w:val="00645209"/>
    <w:rsid w:val="00646267"/>
    <w:rsid w:val="006467F1"/>
    <w:rsid w:val="00646A8A"/>
    <w:rsid w:val="00646ED5"/>
    <w:rsid w:val="00647401"/>
    <w:rsid w:val="0064777F"/>
    <w:rsid w:val="00647931"/>
    <w:rsid w:val="00650169"/>
    <w:rsid w:val="00652918"/>
    <w:rsid w:val="00652E1B"/>
    <w:rsid w:val="00652E45"/>
    <w:rsid w:val="00653F32"/>
    <w:rsid w:val="006556FA"/>
    <w:rsid w:val="00656BD4"/>
    <w:rsid w:val="00657250"/>
    <w:rsid w:val="006600DC"/>
    <w:rsid w:val="00660605"/>
    <w:rsid w:val="006622B7"/>
    <w:rsid w:val="00662E0D"/>
    <w:rsid w:val="0066383C"/>
    <w:rsid w:val="0066428B"/>
    <w:rsid w:val="00664C4E"/>
    <w:rsid w:val="00665BFE"/>
    <w:rsid w:val="00666F3D"/>
    <w:rsid w:val="00670C79"/>
    <w:rsid w:val="00670DA7"/>
    <w:rsid w:val="00671536"/>
    <w:rsid w:val="0067280E"/>
    <w:rsid w:val="0067373F"/>
    <w:rsid w:val="006737CE"/>
    <w:rsid w:val="00674168"/>
    <w:rsid w:val="00674D58"/>
    <w:rsid w:val="00674E7A"/>
    <w:rsid w:val="0067569B"/>
    <w:rsid w:val="00677B92"/>
    <w:rsid w:val="00680184"/>
    <w:rsid w:val="00680196"/>
    <w:rsid w:val="006801F0"/>
    <w:rsid w:val="006803EA"/>
    <w:rsid w:val="006813E4"/>
    <w:rsid w:val="00683D39"/>
    <w:rsid w:val="00687A8C"/>
    <w:rsid w:val="00693450"/>
    <w:rsid w:val="00695912"/>
    <w:rsid w:val="00696435"/>
    <w:rsid w:val="006964C3"/>
    <w:rsid w:val="00697C9C"/>
    <w:rsid w:val="006A53C9"/>
    <w:rsid w:val="006B0230"/>
    <w:rsid w:val="006B075E"/>
    <w:rsid w:val="006B0F3D"/>
    <w:rsid w:val="006B135C"/>
    <w:rsid w:val="006C1EBB"/>
    <w:rsid w:val="006C3986"/>
    <w:rsid w:val="006C4F78"/>
    <w:rsid w:val="006C63AE"/>
    <w:rsid w:val="006C63C2"/>
    <w:rsid w:val="006C711B"/>
    <w:rsid w:val="006D07D6"/>
    <w:rsid w:val="006D09F8"/>
    <w:rsid w:val="006D2138"/>
    <w:rsid w:val="006D37D0"/>
    <w:rsid w:val="006D46B5"/>
    <w:rsid w:val="006D52AD"/>
    <w:rsid w:val="006E1DDD"/>
    <w:rsid w:val="006E48E4"/>
    <w:rsid w:val="006E4FBF"/>
    <w:rsid w:val="006E6287"/>
    <w:rsid w:val="006E718D"/>
    <w:rsid w:val="006E7C08"/>
    <w:rsid w:val="006F1F12"/>
    <w:rsid w:val="006F28C3"/>
    <w:rsid w:val="006F2A8A"/>
    <w:rsid w:val="006F2F9D"/>
    <w:rsid w:val="006F350D"/>
    <w:rsid w:val="006F4543"/>
    <w:rsid w:val="006F57C0"/>
    <w:rsid w:val="006F66B1"/>
    <w:rsid w:val="006F72EC"/>
    <w:rsid w:val="006F7D98"/>
    <w:rsid w:val="0070275F"/>
    <w:rsid w:val="007050B8"/>
    <w:rsid w:val="00705F15"/>
    <w:rsid w:val="00707949"/>
    <w:rsid w:val="007118D7"/>
    <w:rsid w:val="00712405"/>
    <w:rsid w:val="00713515"/>
    <w:rsid w:val="00720217"/>
    <w:rsid w:val="00721E13"/>
    <w:rsid w:val="00723783"/>
    <w:rsid w:val="00723AC4"/>
    <w:rsid w:val="00723BA7"/>
    <w:rsid w:val="00723E83"/>
    <w:rsid w:val="0072479B"/>
    <w:rsid w:val="00724EF9"/>
    <w:rsid w:val="0072598F"/>
    <w:rsid w:val="00725A79"/>
    <w:rsid w:val="007263F0"/>
    <w:rsid w:val="00726D70"/>
    <w:rsid w:val="00727AF1"/>
    <w:rsid w:val="00727BB5"/>
    <w:rsid w:val="00727F76"/>
    <w:rsid w:val="00730AD6"/>
    <w:rsid w:val="00730DF6"/>
    <w:rsid w:val="007314E7"/>
    <w:rsid w:val="00735154"/>
    <w:rsid w:val="007359E9"/>
    <w:rsid w:val="00736318"/>
    <w:rsid w:val="00741AA7"/>
    <w:rsid w:val="00742BEF"/>
    <w:rsid w:val="0074315A"/>
    <w:rsid w:val="007478F2"/>
    <w:rsid w:val="00752B06"/>
    <w:rsid w:val="00757DD1"/>
    <w:rsid w:val="00757F29"/>
    <w:rsid w:val="007600AE"/>
    <w:rsid w:val="00760C9F"/>
    <w:rsid w:val="0076289B"/>
    <w:rsid w:val="00763CC1"/>
    <w:rsid w:val="007640CC"/>
    <w:rsid w:val="007642C7"/>
    <w:rsid w:val="00764804"/>
    <w:rsid w:val="007678A9"/>
    <w:rsid w:val="00770E01"/>
    <w:rsid w:val="00771F93"/>
    <w:rsid w:val="00774611"/>
    <w:rsid w:val="0077582F"/>
    <w:rsid w:val="00775875"/>
    <w:rsid w:val="0078387C"/>
    <w:rsid w:val="0078437B"/>
    <w:rsid w:val="00784848"/>
    <w:rsid w:val="00784A78"/>
    <w:rsid w:val="00784C56"/>
    <w:rsid w:val="00785492"/>
    <w:rsid w:val="00786699"/>
    <w:rsid w:val="007872E4"/>
    <w:rsid w:val="00787457"/>
    <w:rsid w:val="007877BC"/>
    <w:rsid w:val="00787A65"/>
    <w:rsid w:val="007912A9"/>
    <w:rsid w:val="007928CE"/>
    <w:rsid w:val="00793B14"/>
    <w:rsid w:val="007949E0"/>
    <w:rsid w:val="00794CB0"/>
    <w:rsid w:val="00795327"/>
    <w:rsid w:val="00795ECB"/>
    <w:rsid w:val="00797A35"/>
    <w:rsid w:val="007A092D"/>
    <w:rsid w:val="007A20E4"/>
    <w:rsid w:val="007A28A7"/>
    <w:rsid w:val="007A294C"/>
    <w:rsid w:val="007A355E"/>
    <w:rsid w:val="007A4087"/>
    <w:rsid w:val="007A506B"/>
    <w:rsid w:val="007A5914"/>
    <w:rsid w:val="007A5DF7"/>
    <w:rsid w:val="007B37F8"/>
    <w:rsid w:val="007B5C1D"/>
    <w:rsid w:val="007B66A7"/>
    <w:rsid w:val="007C16BF"/>
    <w:rsid w:val="007C358C"/>
    <w:rsid w:val="007C3CB1"/>
    <w:rsid w:val="007D1532"/>
    <w:rsid w:val="007D26F6"/>
    <w:rsid w:val="007D383B"/>
    <w:rsid w:val="007D59C7"/>
    <w:rsid w:val="007D5B0F"/>
    <w:rsid w:val="007D6BE6"/>
    <w:rsid w:val="007E2B3E"/>
    <w:rsid w:val="007E2F46"/>
    <w:rsid w:val="007E315C"/>
    <w:rsid w:val="007E6D8E"/>
    <w:rsid w:val="007E7000"/>
    <w:rsid w:val="007F14F5"/>
    <w:rsid w:val="007F7226"/>
    <w:rsid w:val="0080159B"/>
    <w:rsid w:val="008022C0"/>
    <w:rsid w:val="008041B9"/>
    <w:rsid w:val="008042E9"/>
    <w:rsid w:val="0080435E"/>
    <w:rsid w:val="00805594"/>
    <w:rsid w:val="00806A0E"/>
    <w:rsid w:val="00810336"/>
    <w:rsid w:val="00812F1A"/>
    <w:rsid w:val="008147DC"/>
    <w:rsid w:val="00816500"/>
    <w:rsid w:val="00820027"/>
    <w:rsid w:val="00820EC8"/>
    <w:rsid w:val="00821135"/>
    <w:rsid w:val="00821A2E"/>
    <w:rsid w:val="00821E21"/>
    <w:rsid w:val="00822951"/>
    <w:rsid w:val="00823B75"/>
    <w:rsid w:val="00823B92"/>
    <w:rsid w:val="00824F0E"/>
    <w:rsid w:val="008259E4"/>
    <w:rsid w:val="00826EED"/>
    <w:rsid w:val="00830CBA"/>
    <w:rsid w:val="00831008"/>
    <w:rsid w:val="008311B3"/>
    <w:rsid w:val="00833990"/>
    <w:rsid w:val="008339F9"/>
    <w:rsid w:val="00833F5C"/>
    <w:rsid w:val="00834D8E"/>
    <w:rsid w:val="0083530C"/>
    <w:rsid w:val="00837BAB"/>
    <w:rsid w:val="00842DDA"/>
    <w:rsid w:val="00843606"/>
    <w:rsid w:val="008438F3"/>
    <w:rsid w:val="00843E24"/>
    <w:rsid w:val="008441CD"/>
    <w:rsid w:val="0084634B"/>
    <w:rsid w:val="0084657A"/>
    <w:rsid w:val="00847EA6"/>
    <w:rsid w:val="00850946"/>
    <w:rsid w:val="008532C2"/>
    <w:rsid w:val="00857F6E"/>
    <w:rsid w:val="00861374"/>
    <w:rsid w:val="008619CE"/>
    <w:rsid w:val="00862B66"/>
    <w:rsid w:val="008705E3"/>
    <w:rsid w:val="00870635"/>
    <w:rsid w:val="0087248D"/>
    <w:rsid w:val="00873608"/>
    <w:rsid w:val="00873E3D"/>
    <w:rsid w:val="008752C0"/>
    <w:rsid w:val="00875BCB"/>
    <w:rsid w:val="00876521"/>
    <w:rsid w:val="00880D07"/>
    <w:rsid w:val="00881537"/>
    <w:rsid w:val="00883375"/>
    <w:rsid w:val="008838DB"/>
    <w:rsid w:val="0088623E"/>
    <w:rsid w:val="008873F6"/>
    <w:rsid w:val="0089074E"/>
    <w:rsid w:val="008909E5"/>
    <w:rsid w:val="00890D08"/>
    <w:rsid w:val="00894A0A"/>
    <w:rsid w:val="00894B05"/>
    <w:rsid w:val="008955BC"/>
    <w:rsid w:val="008965DD"/>
    <w:rsid w:val="008975E9"/>
    <w:rsid w:val="008A1CD6"/>
    <w:rsid w:val="008A2683"/>
    <w:rsid w:val="008A2707"/>
    <w:rsid w:val="008A2CEF"/>
    <w:rsid w:val="008A3EC9"/>
    <w:rsid w:val="008A44AD"/>
    <w:rsid w:val="008A45B5"/>
    <w:rsid w:val="008A4B30"/>
    <w:rsid w:val="008A5644"/>
    <w:rsid w:val="008A6377"/>
    <w:rsid w:val="008B186A"/>
    <w:rsid w:val="008B2AA3"/>
    <w:rsid w:val="008B33C1"/>
    <w:rsid w:val="008B4F8B"/>
    <w:rsid w:val="008B707D"/>
    <w:rsid w:val="008B7A75"/>
    <w:rsid w:val="008C1811"/>
    <w:rsid w:val="008C2535"/>
    <w:rsid w:val="008C2751"/>
    <w:rsid w:val="008C471E"/>
    <w:rsid w:val="008C6322"/>
    <w:rsid w:val="008C7047"/>
    <w:rsid w:val="008D050C"/>
    <w:rsid w:val="008D0751"/>
    <w:rsid w:val="008D3085"/>
    <w:rsid w:val="008D498E"/>
    <w:rsid w:val="008D4B12"/>
    <w:rsid w:val="008E14AF"/>
    <w:rsid w:val="008E1534"/>
    <w:rsid w:val="008E3D03"/>
    <w:rsid w:val="008E43D1"/>
    <w:rsid w:val="008E48D1"/>
    <w:rsid w:val="008E534F"/>
    <w:rsid w:val="008E56F8"/>
    <w:rsid w:val="008E5DAF"/>
    <w:rsid w:val="008E61EE"/>
    <w:rsid w:val="008E64CB"/>
    <w:rsid w:val="008F06E5"/>
    <w:rsid w:val="008F29CC"/>
    <w:rsid w:val="008F2D62"/>
    <w:rsid w:val="008F32CD"/>
    <w:rsid w:val="008F3303"/>
    <w:rsid w:val="008F35A0"/>
    <w:rsid w:val="008F41E3"/>
    <w:rsid w:val="008F4914"/>
    <w:rsid w:val="008F6907"/>
    <w:rsid w:val="008F7D4B"/>
    <w:rsid w:val="009009A6"/>
    <w:rsid w:val="00901A7B"/>
    <w:rsid w:val="0090277D"/>
    <w:rsid w:val="0090418B"/>
    <w:rsid w:val="00905E05"/>
    <w:rsid w:val="009064F7"/>
    <w:rsid w:val="009079AE"/>
    <w:rsid w:val="00907A27"/>
    <w:rsid w:val="00907A95"/>
    <w:rsid w:val="00907AEA"/>
    <w:rsid w:val="00910134"/>
    <w:rsid w:val="00911BC0"/>
    <w:rsid w:val="00913C98"/>
    <w:rsid w:val="0091403A"/>
    <w:rsid w:val="00915DA8"/>
    <w:rsid w:val="00916869"/>
    <w:rsid w:val="00916B41"/>
    <w:rsid w:val="009176B0"/>
    <w:rsid w:val="0092117E"/>
    <w:rsid w:val="00922398"/>
    <w:rsid w:val="00923B3E"/>
    <w:rsid w:val="009240BF"/>
    <w:rsid w:val="0092665F"/>
    <w:rsid w:val="00926ABC"/>
    <w:rsid w:val="009276B0"/>
    <w:rsid w:val="00931AF0"/>
    <w:rsid w:val="009359F1"/>
    <w:rsid w:val="00935C77"/>
    <w:rsid w:val="00935D53"/>
    <w:rsid w:val="00936CC4"/>
    <w:rsid w:val="00937743"/>
    <w:rsid w:val="009377E2"/>
    <w:rsid w:val="009404CF"/>
    <w:rsid w:val="00944ABA"/>
    <w:rsid w:val="00947EA6"/>
    <w:rsid w:val="00953180"/>
    <w:rsid w:val="00954311"/>
    <w:rsid w:val="009545F6"/>
    <w:rsid w:val="0095587D"/>
    <w:rsid w:val="00956192"/>
    <w:rsid w:val="009561EC"/>
    <w:rsid w:val="00961D3B"/>
    <w:rsid w:val="00965DE3"/>
    <w:rsid w:val="0096680B"/>
    <w:rsid w:val="0096697E"/>
    <w:rsid w:val="00966D02"/>
    <w:rsid w:val="009678EA"/>
    <w:rsid w:val="00972192"/>
    <w:rsid w:val="00973701"/>
    <w:rsid w:val="00973B5C"/>
    <w:rsid w:val="00973DEE"/>
    <w:rsid w:val="00975D69"/>
    <w:rsid w:val="00975D7D"/>
    <w:rsid w:val="00976515"/>
    <w:rsid w:val="00980148"/>
    <w:rsid w:val="00980800"/>
    <w:rsid w:val="009817E8"/>
    <w:rsid w:val="00981C86"/>
    <w:rsid w:val="00982B95"/>
    <w:rsid w:val="009833F1"/>
    <w:rsid w:val="00983417"/>
    <w:rsid w:val="00983CAC"/>
    <w:rsid w:val="00985AB5"/>
    <w:rsid w:val="00987A22"/>
    <w:rsid w:val="00990092"/>
    <w:rsid w:val="00990429"/>
    <w:rsid w:val="0099350E"/>
    <w:rsid w:val="00996E8E"/>
    <w:rsid w:val="009A06A1"/>
    <w:rsid w:val="009A665B"/>
    <w:rsid w:val="009A6CC6"/>
    <w:rsid w:val="009A76F9"/>
    <w:rsid w:val="009B23EA"/>
    <w:rsid w:val="009B3290"/>
    <w:rsid w:val="009B381E"/>
    <w:rsid w:val="009B71DC"/>
    <w:rsid w:val="009C238D"/>
    <w:rsid w:val="009C25D9"/>
    <w:rsid w:val="009C2752"/>
    <w:rsid w:val="009C2B24"/>
    <w:rsid w:val="009C2D1E"/>
    <w:rsid w:val="009C44A4"/>
    <w:rsid w:val="009C5EAE"/>
    <w:rsid w:val="009C6624"/>
    <w:rsid w:val="009C7327"/>
    <w:rsid w:val="009D1BA6"/>
    <w:rsid w:val="009D4DAF"/>
    <w:rsid w:val="009D4F3B"/>
    <w:rsid w:val="009D5452"/>
    <w:rsid w:val="009D5A94"/>
    <w:rsid w:val="009D6969"/>
    <w:rsid w:val="009E1366"/>
    <w:rsid w:val="009E29C9"/>
    <w:rsid w:val="009E4949"/>
    <w:rsid w:val="009E5884"/>
    <w:rsid w:val="009E58ED"/>
    <w:rsid w:val="009E6374"/>
    <w:rsid w:val="009E63F1"/>
    <w:rsid w:val="009E6591"/>
    <w:rsid w:val="009F06B0"/>
    <w:rsid w:val="009F22AF"/>
    <w:rsid w:val="009F327C"/>
    <w:rsid w:val="009F366F"/>
    <w:rsid w:val="009F4CAE"/>
    <w:rsid w:val="009F54C3"/>
    <w:rsid w:val="009F6A6B"/>
    <w:rsid w:val="009F799C"/>
    <w:rsid w:val="00A00346"/>
    <w:rsid w:val="00A0637C"/>
    <w:rsid w:val="00A07A20"/>
    <w:rsid w:val="00A112E7"/>
    <w:rsid w:val="00A17529"/>
    <w:rsid w:val="00A17682"/>
    <w:rsid w:val="00A20532"/>
    <w:rsid w:val="00A20814"/>
    <w:rsid w:val="00A20D72"/>
    <w:rsid w:val="00A225D0"/>
    <w:rsid w:val="00A24686"/>
    <w:rsid w:val="00A25593"/>
    <w:rsid w:val="00A27068"/>
    <w:rsid w:val="00A2708A"/>
    <w:rsid w:val="00A33926"/>
    <w:rsid w:val="00A34796"/>
    <w:rsid w:val="00A35590"/>
    <w:rsid w:val="00A401BA"/>
    <w:rsid w:val="00A4290C"/>
    <w:rsid w:val="00A42D45"/>
    <w:rsid w:val="00A44D23"/>
    <w:rsid w:val="00A503B1"/>
    <w:rsid w:val="00A52229"/>
    <w:rsid w:val="00A54F6C"/>
    <w:rsid w:val="00A56581"/>
    <w:rsid w:val="00A56AF1"/>
    <w:rsid w:val="00A60FAE"/>
    <w:rsid w:val="00A61B9E"/>
    <w:rsid w:val="00A63839"/>
    <w:rsid w:val="00A6445C"/>
    <w:rsid w:val="00A6751F"/>
    <w:rsid w:val="00A70147"/>
    <w:rsid w:val="00A73ACA"/>
    <w:rsid w:val="00A749BF"/>
    <w:rsid w:val="00A74CC6"/>
    <w:rsid w:val="00A75729"/>
    <w:rsid w:val="00A76B01"/>
    <w:rsid w:val="00A76DC3"/>
    <w:rsid w:val="00A77929"/>
    <w:rsid w:val="00A80E81"/>
    <w:rsid w:val="00A822B2"/>
    <w:rsid w:val="00A82648"/>
    <w:rsid w:val="00A82B71"/>
    <w:rsid w:val="00A83729"/>
    <w:rsid w:val="00A85D7B"/>
    <w:rsid w:val="00A87739"/>
    <w:rsid w:val="00A90503"/>
    <w:rsid w:val="00A93216"/>
    <w:rsid w:val="00A93F34"/>
    <w:rsid w:val="00A94B13"/>
    <w:rsid w:val="00A96C0B"/>
    <w:rsid w:val="00A96D1B"/>
    <w:rsid w:val="00A97519"/>
    <w:rsid w:val="00A979ED"/>
    <w:rsid w:val="00AA0BC7"/>
    <w:rsid w:val="00AA203D"/>
    <w:rsid w:val="00AA279E"/>
    <w:rsid w:val="00AA2D93"/>
    <w:rsid w:val="00AA537E"/>
    <w:rsid w:val="00AA59A0"/>
    <w:rsid w:val="00AA6FD4"/>
    <w:rsid w:val="00AB0812"/>
    <w:rsid w:val="00AB2920"/>
    <w:rsid w:val="00AB385C"/>
    <w:rsid w:val="00AC0A94"/>
    <w:rsid w:val="00AC1A4B"/>
    <w:rsid w:val="00AC3642"/>
    <w:rsid w:val="00AC4CCD"/>
    <w:rsid w:val="00AD0126"/>
    <w:rsid w:val="00AD01C2"/>
    <w:rsid w:val="00AD0FCB"/>
    <w:rsid w:val="00AD159C"/>
    <w:rsid w:val="00AD320D"/>
    <w:rsid w:val="00AD4DD2"/>
    <w:rsid w:val="00AE1333"/>
    <w:rsid w:val="00AE6FA7"/>
    <w:rsid w:val="00AE7035"/>
    <w:rsid w:val="00AE7757"/>
    <w:rsid w:val="00AF060E"/>
    <w:rsid w:val="00AF2D42"/>
    <w:rsid w:val="00AF569A"/>
    <w:rsid w:val="00AF572D"/>
    <w:rsid w:val="00AF5EEF"/>
    <w:rsid w:val="00AF79CB"/>
    <w:rsid w:val="00AF7F1E"/>
    <w:rsid w:val="00B012CD"/>
    <w:rsid w:val="00B01639"/>
    <w:rsid w:val="00B03B71"/>
    <w:rsid w:val="00B07D81"/>
    <w:rsid w:val="00B15C71"/>
    <w:rsid w:val="00B166B5"/>
    <w:rsid w:val="00B174D2"/>
    <w:rsid w:val="00B216CF"/>
    <w:rsid w:val="00B21946"/>
    <w:rsid w:val="00B246B4"/>
    <w:rsid w:val="00B262C8"/>
    <w:rsid w:val="00B26DB6"/>
    <w:rsid w:val="00B3015E"/>
    <w:rsid w:val="00B30D09"/>
    <w:rsid w:val="00B34382"/>
    <w:rsid w:val="00B34C51"/>
    <w:rsid w:val="00B3525C"/>
    <w:rsid w:val="00B36020"/>
    <w:rsid w:val="00B37313"/>
    <w:rsid w:val="00B3735E"/>
    <w:rsid w:val="00B41404"/>
    <w:rsid w:val="00B41EA1"/>
    <w:rsid w:val="00B42A83"/>
    <w:rsid w:val="00B452A3"/>
    <w:rsid w:val="00B4537B"/>
    <w:rsid w:val="00B464E7"/>
    <w:rsid w:val="00B505F9"/>
    <w:rsid w:val="00B50E2D"/>
    <w:rsid w:val="00B510BF"/>
    <w:rsid w:val="00B523ED"/>
    <w:rsid w:val="00B5244A"/>
    <w:rsid w:val="00B531AB"/>
    <w:rsid w:val="00B53C34"/>
    <w:rsid w:val="00B56764"/>
    <w:rsid w:val="00B651E4"/>
    <w:rsid w:val="00B65791"/>
    <w:rsid w:val="00B66A36"/>
    <w:rsid w:val="00B72438"/>
    <w:rsid w:val="00B72BAB"/>
    <w:rsid w:val="00B74559"/>
    <w:rsid w:val="00B76557"/>
    <w:rsid w:val="00B85489"/>
    <w:rsid w:val="00B87179"/>
    <w:rsid w:val="00B9048A"/>
    <w:rsid w:val="00B906E1"/>
    <w:rsid w:val="00B93B50"/>
    <w:rsid w:val="00B951FF"/>
    <w:rsid w:val="00BA000A"/>
    <w:rsid w:val="00BA0F40"/>
    <w:rsid w:val="00BA118B"/>
    <w:rsid w:val="00BA328B"/>
    <w:rsid w:val="00BA3D5F"/>
    <w:rsid w:val="00BA47F0"/>
    <w:rsid w:val="00BA4E0F"/>
    <w:rsid w:val="00BB0782"/>
    <w:rsid w:val="00BB0DE5"/>
    <w:rsid w:val="00BB1C7E"/>
    <w:rsid w:val="00BB2E04"/>
    <w:rsid w:val="00BB3000"/>
    <w:rsid w:val="00BB34E3"/>
    <w:rsid w:val="00BB5721"/>
    <w:rsid w:val="00BB69DB"/>
    <w:rsid w:val="00BB6F82"/>
    <w:rsid w:val="00BC2BA2"/>
    <w:rsid w:val="00BC2ED4"/>
    <w:rsid w:val="00BC36B3"/>
    <w:rsid w:val="00BC6BCA"/>
    <w:rsid w:val="00BD0693"/>
    <w:rsid w:val="00BD08E5"/>
    <w:rsid w:val="00BD0CA8"/>
    <w:rsid w:val="00BD0CCE"/>
    <w:rsid w:val="00BD0F2D"/>
    <w:rsid w:val="00BD1014"/>
    <w:rsid w:val="00BD396E"/>
    <w:rsid w:val="00BD4914"/>
    <w:rsid w:val="00BD55B7"/>
    <w:rsid w:val="00BD659A"/>
    <w:rsid w:val="00BD7AF5"/>
    <w:rsid w:val="00BD7F12"/>
    <w:rsid w:val="00BE0572"/>
    <w:rsid w:val="00BE0F0E"/>
    <w:rsid w:val="00BE20C3"/>
    <w:rsid w:val="00BE2331"/>
    <w:rsid w:val="00BE470D"/>
    <w:rsid w:val="00BE4A53"/>
    <w:rsid w:val="00BE7875"/>
    <w:rsid w:val="00BF0642"/>
    <w:rsid w:val="00BF1223"/>
    <w:rsid w:val="00BF21B1"/>
    <w:rsid w:val="00BF29AC"/>
    <w:rsid w:val="00BF4912"/>
    <w:rsid w:val="00BF4B8F"/>
    <w:rsid w:val="00C000FD"/>
    <w:rsid w:val="00C005BC"/>
    <w:rsid w:val="00C01DF1"/>
    <w:rsid w:val="00C04D83"/>
    <w:rsid w:val="00C1070D"/>
    <w:rsid w:val="00C10B3B"/>
    <w:rsid w:val="00C11ECE"/>
    <w:rsid w:val="00C129DE"/>
    <w:rsid w:val="00C13AE9"/>
    <w:rsid w:val="00C150BB"/>
    <w:rsid w:val="00C16B79"/>
    <w:rsid w:val="00C2099E"/>
    <w:rsid w:val="00C224C0"/>
    <w:rsid w:val="00C22816"/>
    <w:rsid w:val="00C23CF0"/>
    <w:rsid w:val="00C249F4"/>
    <w:rsid w:val="00C26C10"/>
    <w:rsid w:val="00C31272"/>
    <w:rsid w:val="00C31BB5"/>
    <w:rsid w:val="00C34562"/>
    <w:rsid w:val="00C369F9"/>
    <w:rsid w:val="00C47AA5"/>
    <w:rsid w:val="00C51826"/>
    <w:rsid w:val="00C525CD"/>
    <w:rsid w:val="00C52A04"/>
    <w:rsid w:val="00C52F58"/>
    <w:rsid w:val="00C5468F"/>
    <w:rsid w:val="00C551BE"/>
    <w:rsid w:val="00C55F9D"/>
    <w:rsid w:val="00C579D5"/>
    <w:rsid w:val="00C57FF1"/>
    <w:rsid w:val="00C60145"/>
    <w:rsid w:val="00C60836"/>
    <w:rsid w:val="00C60B49"/>
    <w:rsid w:val="00C61564"/>
    <w:rsid w:val="00C6168E"/>
    <w:rsid w:val="00C62223"/>
    <w:rsid w:val="00C63544"/>
    <w:rsid w:val="00C715BD"/>
    <w:rsid w:val="00C7228F"/>
    <w:rsid w:val="00C73384"/>
    <w:rsid w:val="00C76128"/>
    <w:rsid w:val="00C82776"/>
    <w:rsid w:val="00C8303E"/>
    <w:rsid w:val="00C83C7F"/>
    <w:rsid w:val="00C84EC9"/>
    <w:rsid w:val="00C85731"/>
    <w:rsid w:val="00C8685C"/>
    <w:rsid w:val="00C87826"/>
    <w:rsid w:val="00C900B9"/>
    <w:rsid w:val="00C9066A"/>
    <w:rsid w:val="00C90AE0"/>
    <w:rsid w:val="00C926AE"/>
    <w:rsid w:val="00C9400D"/>
    <w:rsid w:val="00C9595A"/>
    <w:rsid w:val="00CA0FE5"/>
    <w:rsid w:val="00CA1B3B"/>
    <w:rsid w:val="00CA560E"/>
    <w:rsid w:val="00CA5CC9"/>
    <w:rsid w:val="00CA723F"/>
    <w:rsid w:val="00CB09CE"/>
    <w:rsid w:val="00CB1B1A"/>
    <w:rsid w:val="00CB2A6E"/>
    <w:rsid w:val="00CB6C17"/>
    <w:rsid w:val="00CB7304"/>
    <w:rsid w:val="00CB78C4"/>
    <w:rsid w:val="00CC0897"/>
    <w:rsid w:val="00CC1CB4"/>
    <w:rsid w:val="00CC3478"/>
    <w:rsid w:val="00CC7D0A"/>
    <w:rsid w:val="00CD02AB"/>
    <w:rsid w:val="00CD13F8"/>
    <w:rsid w:val="00CD24AA"/>
    <w:rsid w:val="00CD28D5"/>
    <w:rsid w:val="00CD2EA0"/>
    <w:rsid w:val="00CD330F"/>
    <w:rsid w:val="00CD4123"/>
    <w:rsid w:val="00CD6788"/>
    <w:rsid w:val="00CD681E"/>
    <w:rsid w:val="00CD6AB9"/>
    <w:rsid w:val="00CE11F6"/>
    <w:rsid w:val="00CE2716"/>
    <w:rsid w:val="00CE2DFA"/>
    <w:rsid w:val="00CE2F2A"/>
    <w:rsid w:val="00CE461E"/>
    <w:rsid w:val="00CE699E"/>
    <w:rsid w:val="00CE7B3A"/>
    <w:rsid w:val="00CF00D7"/>
    <w:rsid w:val="00CF01F6"/>
    <w:rsid w:val="00CF2C6A"/>
    <w:rsid w:val="00CF488B"/>
    <w:rsid w:val="00CF5CDF"/>
    <w:rsid w:val="00CF6DC4"/>
    <w:rsid w:val="00CF76B3"/>
    <w:rsid w:val="00CF77BF"/>
    <w:rsid w:val="00CF7D07"/>
    <w:rsid w:val="00D00BE7"/>
    <w:rsid w:val="00D00E94"/>
    <w:rsid w:val="00D03109"/>
    <w:rsid w:val="00D03A53"/>
    <w:rsid w:val="00D04219"/>
    <w:rsid w:val="00D042B9"/>
    <w:rsid w:val="00D075C8"/>
    <w:rsid w:val="00D100AF"/>
    <w:rsid w:val="00D100F6"/>
    <w:rsid w:val="00D11A4B"/>
    <w:rsid w:val="00D14823"/>
    <w:rsid w:val="00D17BFC"/>
    <w:rsid w:val="00D21F05"/>
    <w:rsid w:val="00D24521"/>
    <w:rsid w:val="00D250E4"/>
    <w:rsid w:val="00D270E9"/>
    <w:rsid w:val="00D27C6F"/>
    <w:rsid w:val="00D30B06"/>
    <w:rsid w:val="00D30B66"/>
    <w:rsid w:val="00D31842"/>
    <w:rsid w:val="00D31C14"/>
    <w:rsid w:val="00D35098"/>
    <w:rsid w:val="00D36F00"/>
    <w:rsid w:val="00D40A25"/>
    <w:rsid w:val="00D42F42"/>
    <w:rsid w:val="00D43767"/>
    <w:rsid w:val="00D4461C"/>
    <w:rsid w:val="00D478F6"/>
    <w:rsid w:val="00D501A1"/>
    <w:rsid w:val="00D52251"/>
    <w:rsid w:val="00D60512"/>
    <w:rsid w:val="00D60B36"/>
    <w:rsid w:val="00D61D54"/>
    <w:rsid w:val="00D634C9"/>
    <w:rsid w:val="00D63CCB"/>
    <w:rsid w:val="00D65446"/>
    <w:rsid w:val="00D65E59"/>
    <w:rsid w:val="00D67480"/>
    <w:rsid w:val="00D7055A"/>
    <w:rsid w:val="00D70A75"/>
    <w:rsid w:val="00D72A31"/>
    <w:rsid w:val="00D73D1F"/>
    <w:rsid w:val="00D7465B"/>
    <w:rsid w:val="00D8203D"/>
    <w:rsid w:val="00D85741"/>
    <w:rsid w:val="00D903E2"/>
    <w:rsid w:val="00D9055C"/>
    <w:rsid w:val="00D90A45"/>
    <w:rsid w:val="00D90C50"/>
    <w:rsid w:val="00D91372"/>
    <w:rsid w:val="00D92F9F"/>
    <w:rsid w:val="00D93260"/>
    <w:rsid w:val="00D934F0"/>
    <w:rsid w:val="00D94754"/>
    <w:rsid w:val="00D94C5D"/>
    <w:rsid w:val="00D95E2C"/>
    <w:rsid w:val="00D977EB"/>
    <w:rsid w:val="00DA3DF4"/>
    <w:rsid w:val="00DA48DA"/>
    <w:rsid w:val="00DA6976"/>
    <w:rsid w:val="00DA7ECA"/>
    <w:rsid w:val="00DB0169"/>
    <w:rsid w:val="00DB02E7"/>
    <w:rsid w:val="00DB0AC3"/>
    <w:rsid w:val="00DB19FF"/>
    <w:rsid w:val="00DB1F3F"/>
    <w:rsid w:val="00DB2168"/>
    <w:rsid w:val="00DB2200"/>
    <w:rsid w:val="00DB31BA"/>
    <w:rsid w:val="00DB41EA"/>
    <w:rsid w:val="00DB456B"/>
    <w:rsid w:val="00DB67FA"/>
    <w:rsid w:val="00DB6D2A"/>
    <w:rsid w:val="00DB6E4E"/>
    <w:rsid w:val="00DB715E"/>
    <w:rsid w:val="00DB71DB"/>
    <w:rsid w:val="00DC2152"/>
    <w:rsid w:val="00DC6060"/>
    <w:rsid w:val="00DC611C"/>
    <w:rsid w:val="00DC663A"/>
    <w:rsid w:val="00DC7E22"/>
    <w:rsid w:val="00DD0632"/>
    <w:rsid w:val="00DD2A09"/>
    <w:rsid w:val="00DD31EE"/>
    <w:rsid w:val="00DD3713"/>
    <w:rsid w:val="00DD39A0"/>
    <w:rsid w:val="00DD3B2B"/>
    <w:rsid w:val="00DD3CB9"/>
    <w:rsid w:val="00DD55D5"/>
    <w:rsid w:val="00DD590B"/>
    <w:rsid w:val="00DD6D36"/>
    <w:rsid w:val="00DE12BA"/>
    <w:rsid w:val="00DE7345"/>
    <w:rsid w:val="00DF043F"/>
    <w:rsid w:val="00DF253B"/>
    <w:rsid w:val="00DF278B"/>
    <w:rsid w:val="00DF3D29"/>
    <w:rsid w:val="00DF6EFD"/>
    <w:rsid w:val="00DF742C"/>
    <w:rsid w:val="00DF7938"/>
    <w:rsid w:val="00E000E2"/>
    <w:rsid w:val="00E004DB"/>
    <w:rsid w:val="00E005C1"/>
    <w:rsid w:val="00E01B3E"/>
    <w:rsid w:val="00E01C97"/>
    <w:rsid w:val="00E020B4"/>
    <w:rsid w:val="00E028C6"/>
    <w:rsid w:val="00E07299"/>
    <w:rsid w:val="00E10987"/>
    <w:rsid w:val="00E10E9F"/>
    <w:rsid w:val="00E12162"/>
    <w:rsid w:val="00E1237D"/>
    <w:rsid w:val="00E1246C"/>
    <w:rsid w:val="00E15335"/>
    <w:rsid w:val="00E15FE2"/>
    <w:rsid w:val="00E17A0A"/>
    <w:rsid w:val="00E20973"/>
    <w:rsid w:val="00E20EAD"/>
    <w:rsid w:val="00E2114F"/>
    <w:rsid w:val="00E231B5"/>
    <w:rsid w:val="00E26138"/>
    <w:rsid w:val="00E27D5F"/>
    <w:rsid w:val="00E32F77"/>
    <w:rsid w:val="00E33F31"/>
    <w:rsid w:val="00E37B03"/>
    <w:rsid w:val="00E41838"/>
    <w:rsid w:val="00E429CC"/>
    <w:rsid w:val="00E44A2E"/>
    <w:rsid w:val="00E456B9"/>
    <w:rsid w:val="00E51892"/>
    <w:rsid w:val="00E51C99"/>
    <w:rsid w:val="00E5267F"/>
    <w:rsid w:val="00E52E82"/>
    <w:rsid w:val="00E541DB"/>
    <w:rsid w:val="00E54F18"/>
    <w:rsid w:val="00E60E89"/>
    <w:rsid w:val="00E61936"/>
    <w:rsid w:val="00E62BA0"/>
    <w:rsid w:val="00E64002"/>
    <w:rsid w:val="00E65069"/>
    <w:rsid w:val="00E6615D"/>
    <w:rsid w:val="00E661DA"/>
    <w:rsid w:val="00E666A2"/>
    <w:rsid w:val="00E676F8"/>
    <w:rsid w:val="00E6795C"/>
    <w:rsid w:val="00E70CBD"/>
    <w:rsid w:val="00E70FF3"/>
    <w:rsid w:val="00E723B5"/>
    <w:rsid w:val="00E72D9D"/>
    <w:rsid w:val="00E73A92"/>
    <w:rsid w:val="00E760AA"/>
    <w:rsid w:val="00E775D3"/>
    <w:rsid w:val="00E806D4"/>
    <w:rsid w:val="00E827E8"/>
    <w:rsid w:val="00E832F5"/>
    <w:rsid w:val="00E84143"/>
    <w:rsid w:val="00E85FC6"/>
    <w:rsid w:val="00E86D1B"/>
    <w:rsid w:val="00E87DB5"/>
    <w:rsid w:val="00E963FB"/>
    <w:rsid w:val="00E975A8"/>
    <w:rsid w:val="00EA0275"/>
    <w:rsid w:val="00EA29A3"/>
    <w:rsid w:val="00EA543D"/>
    <w:rsid w:val="00EA71B1"/>
    <w:rsid w:val="00EB025B"/>
    <w:rsid w:val="00EB198B"/>
    <w:rsid w:val="00EB2240"/>
    <w:rsid w:val="00EB38EF"/>
    <w:rsid w:val="00EB44C1"/>
    <w:rsid w:val="00EC15BB"/>
    <w:rsid w:val="00EC161A"/>
    <w:rsid w:val="00EC4E93"/>
    <w:rsid w:val="00EC6E0D"/>
    <w:rsid w:val="00ED006E"/>
    <w:rsid w:val="00ED0802"/>
    <w:rsid w:val="00ED1EAF"/>
    <w:rsid w:val="00ED4506"/>
    <w:rsid w:val="00ED5D29"/>
    <w:rsid w:val="00ED6EE3"/>
    <w:rsid w:val="00ED6F01"/>
    <w:rsid w:val="00EE1F28"/>
    <w:rsid w:val="00EE46DE"/>
    <w:rsid w:val="00EE7541"/>
    <w:rsid w:val="00EE79AE"/>
    <w:rsid w:val="00EF067B"/>
    <w:rsid w:val="00EF0CD0"/>
    <w:rsid w:val="00EF284D"/>
    <w:rsid w:val="00EF2A2C"/>
    <w:rsid w:val="00EF30E5"/>
    <w:rsid w:val="00EF4272"/>
    <w:rsid w:val="00EF5746"/>
    <w:rsid w:val="00EF587D"/>
    <w:rsid w:val="00EF7A51"/>
    <w:rsid w:val="00EF7E66"/>
    <w:rsid w:val="00F0098C"/>
    <w:rsid w:val="00F03628"/>
    <w:rsid w:val="00F06D25"/>
    <w:rsid w:val="00F11E9E"/>
    <w:rsid w:val="00F1504E"/>
    <w:rsid w:val="00F1512E"/>
    <w:rsid w:val="00F16F6F"/>
    <w:rsid w:val="00F206EA"/>
    <w:rsid w:val="00F232DE"/>
    <w:rsid w:val="00F24977"/>
    <w:rsid w:val="00F24B2C"/>
    <w:rsid w:val="00F26279"/>
    <w:rsid w:val="00F2705F"/>
    <w:rsid w:val="00F27C6C"/>
    <w:rsid w:val="00F33BDF"/>
    <w:rsid w:val="00F3755A"/>
    <w:rsid w:val="00F37A62"/>
    <w:rsid w:val="00F4129B"/>
    <w:rsid w:val="00F43AF9"/>
    <w:rsid w:val="00F43F47"/>
    <w:rsid w:val="00F45473"/>
    <w:rsid w:val="00F45A78"/>
    <w:rsid w:val="00F468B8"/>
    <w:rsid w:val="00F470C3"/>
    <w:rsid w:val="00F51A9F"/>
    <w:rsid w:val="00F52D4D"/>
    <w:rsid w:val="00F52E60"/>
    <w:rsid w:val="00F537FA"/>
    <w:rsid w:val="00F618F1"/>
    <w:rsid w:val="00F62A1B"/>
    <w:rsid w:val="00F650D3"/>
    <w:rsid w:val="00F6643C"/>
    <w:rsid w:val="00F7024F"/>
    <w:rsid w:val="00F72189"/>
    <w:rsid w:val="00F73219"/>
    <w:rsid w:val="00F73667"/>
    <w:rsid w:val="00F73D39"/>
    <w:rsid w:val="00F7454F"/>
    <w:rsid w:val="00F7637B"/>
    <w:rsid w:val="00F76BCF"/>
    <w:rsid w:val="00F77CF6"/>
    <w:rsid w:val="00F8335E"/>
    <w:rsid w:val="00F86559"/>
    <w:rsid w:val="00F87C10"/>
    <w:rsid w:val="00F91E8F"/>
    <w:rsid w:val="00F92280"/>
    <w:rsid w:val="00F941F9"/>
    <w:rsid w:val="00F943CE"/>
    <w:rsid w:val="00F9478D"/>
    <w:rsid w:val="00FA062B"/>
    <w:rsid w:val="00FA0D5C"/>
    <w:rsid w:val="00FA1077"/>
    <w:rsid w:val="00FA21AA"/>
    <w:rsid w:val="00FA47DC"/>
    <w:rsid w:val="00FA4AB8"/>
    <w:rsid w:val="00FA6179"/>
    <w:rsid w:val="00FA66DE"/>
    <w:rsid w:val="00FA6C94"/>
    <w:rsid w:val="00FA7CB6"/>
    <w:rsid w:val="00FB071A"/>
    <w:rsid w:val="00FB1A16"/>
    <w:rsid w:val="00FB1A1C"/>
    <w:rsid w:val="00FB2692"/>
    <w:rsid w:val="00FB45DC"/>
    <w:rsid w:val="00FB5FAE"/>
    <w:rsid w:val="00FB676B"/>
    <w:rsid w:val="00FB743A"/>
    <w:rsid w:val="00FB75B2"/>
    <w:rsid w:val="00FB7FC4"/>
    <w:rsid w:val="00FC0303"/>
    <w:rsid w:val="00FC1267"/>
    <w:rsid w:val="00FC28C3"/>
    <w:rsid w:val="00FC430A"/>
    <w:rsid w:val="00FC5120"/>
    <w:rsid w:val="00FC5961"/>
    <w:rsid w:val="00FC5F3D"/>
    <w:rsid w:val="00FD0D95"/>
    <w:rsid w:val="00FD3526"/>
    <w:rsid w:val="00FD395E"/>
    <w:rsid w:val="00FD5713"/>
    <w:rsid w:val="00FD6CF0"/>
    <w:rsid w:val="00FD7CF9"/>
    <w:rsid w:val="00FE0185"/>
    <w:rsid w:val="00FE0DFF"/>
    <w:rsid w:val="00FE39A9"/>
    <w:rsid w:val="00FE4B86"/>
    <w:rsid w:val="00FE6A77"/>
    <w:rsid w:val="00FF1D41"/>
    <w:rsid w:val="00FF2CC0"/>
    <w:rsid w:val="00FF2F4B"/>
    <w:rsid w:val="00FF4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96567"/>
  <w15:docId w15:val="{1DE015DC-AA2F-4BB8-8C5B-D0ED2D4AD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0C79"/>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670C79"/>
    <w:pPr>
      <w:keepNext/>
      <w:spacing w:line="360" w:lineRule="auto"/>
      <w:outlineLvl w:val="0"/>
    </w:pPr>
    <w:rPr>
      <w:sz w:val="28"/>
    </w:rPr>
  </w:style>
  <w:style w:type="paragraph" w:styleId="Heading2">
    <w:name w:val="heading 2"/>
    <w:basedOn w:val="Normal"/>
    <w:next w:val="Normal"/>
    <w:link w:val="Heading2Char"/>
    <w:qFormat/>
    <w:rsid w:val="00670C79"/>
    <w:pPr>
      <w:keepNext/>
      <w:jc w:val="both"/>
      <w:outlineLvl w:val="1"/>
    </w:pPr>
    <w:rPr>
      <w:sz w:val="28"/>
    </w:rPr>
  </w:style>
  <w:style w:type="paragraph" w:styleId="Heading3">
    <w:name w:val="heading 3"/>
    <w:basedOn w:val="Normal"/>
    <w:next w:val="Normal"/>
    <w:link w:val="Heading3Char"/>
    <w:uiPriority w:val="9"/>
    <w:unhideWhenUsed/>
    <w:qFormat/>
    <w:rsid w:val="00C01DF1"/>
    <w:pPr>
      <w:keepNext/>
      <w:keepLines/>
      <w:spacing w:before="200"/>
      <w:outlineLvl w:val="2"/>
    </w:pPr>
    <w:rPr>
      <w:rFonts w:asciiTheme="majorHAnsi" w:eastAsiaTheme="majorEastAsia" w:hAnsiTheme="majorHAnsi" w:cstheme="majorBidi"/>
      <w:b/>
      <w:bCs/>
      <w:color w:val="5B9BD5" w:themeColor="accent1"/>
    </w:rPr>
  </w:style>
  <w:style w:type="paragraph" w:styleId="Heading6">
    <w:name w:val="heading 6"/>
    <w:basedOn w:val="Normal"/>
    <w:next w:val="Normal"/>
    <w:link w:val="Heading6Char"/>
    <w:qFormat/>
    <w:rsid w:val="00670C79"/>
    <w:pPr>
      <w:keepNext/>
      <w:spacing w:before="120" w:after="120" w:line="360" w:lineRule="auto"/>
      <w:outlineLvl w:val="5"/>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0C79"/>
    <w:rPr>
      <w:rFonts w:ascii="Times New Roman" w:eastAsia="Times New Roman" w:hAnsi="Times New Roman" w:cs="Times New Roman"/>
      <w:sz w:val="28"/>
      <w:szCs w:val="24"/>
      <w:lang w:val="ro-RO"/>
    </w:rPr>
  </w:style>
  <w:style w:type="character" w:customStyle="1" w:styleId="Heading2Char">
    <w:name w:val="Heading 2 Char"/>
    <w:basedOn w:val="DefaultParagraphFont"/>
    <w:link w:val="Heading2"/>
    <w:rsid w:val="00670C79"/>
    <w:rPr>
      <w:rFonts w:ascii="Times New Roman" w:eastAsia="Times New Roman" w:hAnsi="Times New Roman" w:cs="Times New Roman"/>
      <w:sz w:val="28"/>
      <w:szCs w:val="24"/>
      <w:lang w:val="ro-RO"/>
    </w:rPr>
  </w:style>
  <w:style w:type="character" w:customStyle="1" w:styleId="Heading6Char">
    <w:name w:val="Heading 6 Char"/>
    <w:basedOn w:val="DefaultParagraphFont"/>
    <w:link w:val="Heading6"/>
    <w:rsid w:val="00670C79"/>
    <w:rPr>
      <w:rFonts w:ascii="Times New Roman" w:eastAsia="Times New Roman" w:hAnsi="Times New Roman" w:cs="Times New Roman"/>
      <w:b/>
      <w:sz w:val="28"/>
      <w:szCs w:val="24"/>
      <w:lang w:val="ro-RO"/>
    </w:rPr>
  </w:style>
  <w:style w:type="paragraph" w:styleId="BodyTextIndent2">
    <w:name w:val="Body Text Indent 2"/>
    <w:basedOn w:val="Normal"/>
    <w:link w:val="BodyTextIndent2Char"/>
    <w:semiHidden/>
    <w:rsid w:val="00670C79"/>
    <w:pPr>
      <w:spacing w:before="120" w:after="120" w:line="360" w:lineRule="auto"/>
      <w:ind w:firstLine="357"/>
    </w:pPr>
    <w:rPr>
      <w:b/>
      <w:bCs/>
      <w:sz w:val="28"/>
    </w:rPr>
  </w:style>
  <w:style w:type="character" w:customStyle="1" w:styleId="BodyTextIndent2Char">
    <w:name w:val="Body Text Indent 2 Char"/>
    <w:basedOn w:val="DefaultParagraphFont"/>
    <w:link w:val="BodyTextIndent2"/>
    <w:semiHidden/>
    <w:rsid w:val="00670C79"/>
    <w:rPr>
      <w:rFonts w:ascii="Times New Roman" w:eastAsia="Times New Roman" w:hAnsi="Times New Roman" w:cs="Times New Roman"/>
      <w:b/>
      <w:bCs/>
      <w:sz w:val="28"/>
      <w:szCs w:val="24"/>
      <w:lang w:val="ro-RO"/>
    </w:rPr>
  </w:style>
  <w:style w:type="paragraph" w:styleId="BodyText2">
    <w:name w:val="Body Text 2"/>
    <w:basedOn w:val="Normal"/>
    <w:link w:val="BodyText2Char"/>
    <w:semiHidden/>
    <w:rsid w:val="00670C79"/>
    <w:pPr>
      <w:jc w:val="both"/>
    </w:pPr>
    <w:rPr>
      <w:sz w:val="28"/>
    </w:rPr>
  </w:style>
  <w:style w:type="character" w:customStyle="1" w:styleId="BodyText2Char">
    <w:name w:val="Body Text 2 Char"/>
    <w:basedOn w:val="DefaultParagraphFont"/>
    <w:link w:val="BodyText2"/>
    <w:semiHidden/>
    <w:rsid w:val="00670C79"/>
    <w:rPr>
      <w:rFonts w:ascii="Times New Roman" w:eastAsia="Times New Roman" w:hAnsi="Times New Roman" w:cs="Times New Roman"/>
      <w:sz w:val="28"/>
      <w:szCs w:val="24"/>
      <w:lang w:val="ro-RO"/>
    </w:rPr>
  </w:style>
  <w:style w:type="paragraph" w:styleId="Title">
    <w:name w:val="Title"/>
    <w:basedOn w:val="Normal"/>
    <w:link w:val="TitleChar"/>
    <w:uiPriority w:val="10"/>
    <w:qFormat/>
    <w:rsid w:val="00670C79"/>
    <w:pPr>
      <w:spacing w:line="360" w:lineRule="auto"/>
      <w:jc w:val="center"/>
    </w:pPr>
    <w:rPr>
      <w:b/>
      <w:sz w:val="32"/>
      <w:szCs w:val="32"/>
    </w:rPr>
  </w:style>
  <w:style w:type="character" w:customStyle="1" w:styleId="TitleChar">
    <w:name w:val="Title Char"/>
    <w:basedOn w:val="DefaultParagraphFont"/>
    <w:link w:val="Title"/>
    <w:uiPriority w:val="10"/>
    <w:rsid w:val="00670C79"/>
    <w:rPr>
      <w:rFonts w:ascii="Times New Roman" w:eastAsia="Times New Roman" w:hAnsi="Times New Roman" w:cs="Times New Roman"/>
      <w:b/>
      <w:sz w:val="32"/>
      <w:szCs w:val="32"/>
      <w:lang w:val="ro-RO"/>
    </w:rPr>
  </w:style>
  <w:style w:type="paragraph" w:styleId="Footer">
    <w:name w:val="footer"/>
    <w:basedOn w:val="Normal"/>
    <w:link w:val="FooterChar"/>
    <w:uiPriority w:val="99"/>
    <w:rsid w:val="00670C79"/>
    <w:pPr>
      <w:tabs>
        <w:tab w:val="center" w:pos="4536"/>
        <w:tab w:val="right" w:pos="9072"/>
      </w:tabs>
    </w:pPr>
  </w:style>
  <w:style w:type="character" w:customStyle="1" w:styleId="FooterChar">
    <w:name w:val="Footer Char"/>
    <w:basedOn w:val="DefaultParagraphFont"/>
    <w:link w:val="Footer"/>
    <w:uiPriority w:val="99"/>
    <w:rsid w:val="00670C79"/>
    <w:rPr>
      <w:rFonts w:ascii="Times New Roman" w:eastAsia="Times New Roman" w:hAnsi="Times New Roman" w:cs="Times New Roman"/>
      <w:sz w:val="24"/>
      <w:szCs w:val="24"/>
      <w:lang w:val="ro-RO"/>
    </w:rPr>
  </w:style>
  <w:style w:type="character" w:styleId="PageNumber">
    <w:name w:val="page number"/>
    <w:basedOn w:val="DefaultParagraphFont"/>
    <w:rsid w:val="00670C79"/>
  </w:style>
  <w:style w:type="table" w:styleId="TableGrid">
    <w:name w:val="Table Grid"/>
    <w:basedOn w:val="TableNormal"/>
    <w:uiPriority w:val="59"/>
    <w:rsid w:val="00670C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67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o-RO"/>
    </w:rPr>
  </w:style>
  <w:style w:type="character" w:customStyle="1" w:styleId="HTMLPreformattedChar">
    <w:name w:val="HTML Preformatted Char"/>
    <w:basedOn w:val="DefaultParagraphFont"/>
    <w:link w:val="HTMLPreformatted"/>
    <w:uiPriority w:val="99"/>
    <w:rsid w:val="00670C79"/>
    <w:rPr>
      <w:rFonts w:ascii="Courier New" w:eastAsia="Times New Roman" w:hAnsi="Courier New" w:cs="Courier New"/>
      <w:sz w:val="20"/>
      <w:szCs w:val="20"/>
      <w:lang w:val="ro-RO" w:eastAsia="ro-RO"/>
    </w:rPr>
  </w:style>
  <w:style w:type="paragraph" w:styleId="NoSpacing">
    <w:name w:val="No Spacing"/>
    <w:link w:val="NoSpacingChar"/>
    <w:qFormat/>
    <w:rsid w:val="00966D02"/>
    <w:pPr>
      <w:spacing w:after="0" w:line="240" w:lineRule="auto"/>
    </w:pPr>
    <w:rPr>
      <w:rFonts w:ascii="Calibri" w:eastAsia="Calibri" w:hAnsi="Calibri" w:cs="Times New Roman"/>
    </w:rPr>
  </w:style>
  <w:style w:type="character" w:customStyle="1" w:styleId="NoSpacingChar">
    <w:name w:val="No Spacing Char"/>
    <w:link w:val="NoSpacing"/>
    <w:locked/>
    <w:rsid w:val="00966D02"/>
    <w:rPr>
      <w:rFonts w:ascii="Calibri" w:eastAsia="Calibri" w:hAnsi="Calibri" w:cs="Times New Roman"/>
    </w:rPr>
  </w:style>
  <w:style w:type="paragraph" w:styleId="BalloonText">
    <w:name w:val="Balloon Text"/>
    <w:basedOn w:val="Normal"/>
    <w:link w:val="BalloonTextChar"/>
    <w:uiPriority w:val="99"/>
    <w:semiHidden/>
    <w:unhideWhenUsed/>
    <w:rsid w:val="00BA4E0F"/>
    <w:rPr>
      <w:rFonts w:ascii="Tahoma" w:hAnsi="Tahoma" w:cs="Tahoma"/>
      <w:sz w:val="16"/>
      <w:szCs w:val="16"/>
    </w:rPr>
  </w:style>
  <w:style w:type="character" w:customStyle="1" w:styleId="BalloonTextChar">
    <w:name w:val="Balloon Text Char"/>
    <w:basedOn w:val="DefaultParagraphFont"/>
    <w:link w:val="BalloonText"/>
    <w:uiPriority w:val="99"/>
    <w:semiHidden/>
    <w:rsid w:val="00BA4E0F"/>
    <w:rPr>
      <w:rFonts w:ascii="Tahoma" w:eastAsia="Times New Roman" w:hAnsi="Tahoma" w:cs="Tahoma"/>
      <w:sz w:val="16"/>
      <w:szCs w:val="16"/>
      <w:lang w:val="ro-RO"/>
    </w:rPr>
  </w:style>
  <w:style w:type="character" w:styleId="CommentReference">
    <w:name w:val="annotation reference"/>
    <w:basedOn w:val="DefaultParagraphFont"/>
    <w:unhideWhenUsed/>
    <w:rsid w:val="00CE7B3A"/>
    <w:rPr>
      <w:sz w:val="16"/>
      <w:szCs w:val="16"/>
    </w:rPr>
  </w:style>
  <w:style w:type="paragraph" w:styleId="CommentText">
    <w:name w:val="annotation text"/>
    <w:basedOn w:val="Normal"/>
    <w:link w:val="CommentTextChar"/>
    <w:unhideWhenUsed/>
    <w:rsid w:val="00CE7B3A"/>
    <w:rPr>
      <w:sz w:val="20"/>
      <w:szCs w:val="20"/>
    </w:rPr>
  </w:style>
  <w:style w:type="character" w:customStyle="1" w:styleId="CommentTextChar">
    <w:name w:val="Comment Text Char"/>
    <w:basedOn w:val="DefaultParagraphFont"/>
    <w:link w:val="CommentText"/>
    <w:rsid w:val="00CE7B3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CE7B3A"/>
    <w:rPr>
      <w:b/>
      <w:bCs/>
    </w:rPr>
  </w:style>
  <w:style w:type="character" w:customStyle="1" w:styleId="CommentSubjectChar">
    <w:name w:val="Comment Subject Char"/>
    <w:basedOn w:val="CommentTextChar"/>
    <w:link w:val="CommentSubject"/>
    <w:uiPriority w:val="99"/>
    <w:semiHidden/>
    <w:rsid w:val="00CE7B3A"/>
    <w:rPr>
      <w:rFonts w:ascii="Times New Roman" w:eastAsia="Times New Roman" w:hAnsi="Times New Roman" w:cs="Times New Roman"/>
      <w:b/>
      <w:bCs/>
      <w:sz w:val="20"/>
      <w:szCs w:val="20"/>
      <w:lang w:val="ro-RO"/>
    </w:rPr>
  </w:style>
  <w:style w:type="character" w:customStyle="1" w:styleId="Heading3Char">
    <w:name w:val="Heading 3 Char"/>
    <w:basedOn w:val="DefaultParagraphFont"/>
    <w:link w:val="Heading3"/>
    <w:uiPriority w:val="9"/>
    <w:rsid w:val="00C01DF1"/>
    <w:rPr>
      <w:rFonts w:asciiTheme="majorHAnsi" w:eastAsiaTheme="majorEastAsia" w:hAnsiTheme="majorHAnsi" w:cstheme="majorBidi"/>
      <w:b/>
      <w:bCs/>
      <w:color w:val="5B9BD5" w:themeColor="accent1"/>
      <w:sz w:val="24"/>
      <w:szCs w:val="24"/>
      <w:lang w:val="ro-RO"/>
    </w:rPr>
  </w:style>
  <w:style w:type="paragraph" w:styleId="ListParagraph">
    <w:name w:val="List Paragraph"/>
    <w:aliases w:val="Normal bullet 2,List Paragraph1,List1,body 2,List Paragraph11,Listă colorată - Accentuare 11,Bullet,Citation List,Forth level"/>
    <w:basedOn w:val="Normal"/>
    <w:link w:val="ListParagraphChar"/>
    <w:uiPriority w:val="34"/>
    <w:qFormat/>
    <w:rsid w:val="00CD681E"/>
    <w:pPr>
      <w:ind w:left="720"/>
      <w:contextualSpacing/>
    </w:pPr>
    <w:rPr>
      <w:rFonts w:asciiTheme="minorHAnsi" w:eastAsiaTheme="minorHAnsi" w:hAnsiTheme="minorHAnsi" w:cstheme="minorBidi"/>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
    <w:link w:val="ListParagraph"/>
    <w:uiPriority w:val="99"/>
    <w:locked/>
    <w:rsid w:val="009B71DC"/>
    <w:rPr>
      <w:sz w:val="24"/>
      <w:szCs w:val="24"/>
      <w:lang w:val="ro-RO"/>
    </w:rPr>
  </w:style>
  <w:style w:type="character" w:customStyle="1" w:styleId="ColorfulList-Accent1Char">
    <w:name w:val="Colorful List - Accent 1 Char"/>
    <w:link w:val="ColorfulList-Accent1"/>
    <w:uiPriority w:val="34"/>
    <w:locked/>
    <w:rsid w:val="009B71DC"/>
    <w:rPr>
      <w:noProof/>
      <w:sz w:val="24"/>
      <w:szCs w:val="24"/>
      <w:lang w:val="ro-RO"/>
    </w:rPr>
  </w:style>
  <w:style w:type="table" w:styleId="ColorfulList-Accent1">
    <w:name w:val="Colorful List Accent 1"/>
    <w:basedOn w:val="TableNormal"/>
    <w:link w:val="ColorfulList-Accent1Char"/>
    <w:uiPriority w:val="34"/>
    <w:rsid w:val="009B71DC"/>
    <w:pPr>
      <w:spacing w:after="0" w:line="240" w:lineRule="auto"/>
    </w:pPr>
    <w:rPr>
      <w:noProof/>
      <w:sz w:val="24"/>
      <w:szCs w:val="24"/>
      <w:lang w:val="ro-RO"/>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BA47F0"/>
    <w:pPr>
      <w:tabs>
        <w:tab w:val="center" w:pos="4536"/>
        <w:tab w:val="right" w:pos="9072"/>
      </w:tabs>
    </w:pPr>
  </w:style>
  <w:style w:type="character" w:customStyle="1" w:styleId="HeaderChar">
    <w:name w:val="Header Char"/>
    <w:basedOn w:val="DefaultParagraphFont"/>
    <w:link w:val="Header"/>
    <w:uiPriority w:val="99"/>
    <w:rsid w:val="00BA47F0"/>
    <w:rPr>
      <w:rFonts w:ascii="Times New Roman" w:eastAsia="Times New Roman" w:hAnsi="Times New Roman" w:cs="Times New Roman"/>
      <w:sz w:val="24"/>
      <w:szCs w:val="24"/>
      <w:lang w:val="ro-RO"/>
    </w:rPr>
  </w:style>
  <w:style w:type="character" w:customStyle="1" w:styleId="panchor">
    <w:name w:val="panchor"/>
    <w:basedOn w:val="DefaultParagraphFont"/>
    <w:rsid w:val="00161A61"/>
  </w:style>
  <w:style w:type="character" w:styleId="Hyperlink">
    <w:name w:val="Hyperlink"/>
    <w:basedOn w:val="DefaultParagraphFont"/>
    <w:uiPriority w:val="99"/>
    <w:unhideWhenUsed/>
    <w:rsid w:val="001B7961"/>
    <w:rPr>
      <w:color w:val="0000FF"/>
      <w:u w:val="single"/>
    </w:rPr>
  </w:style>
  <w:style w:type="character" w:customStyle="1" w:styleId="slgi">
    <w:name w:val="s_lgi"/>
    <w:basedOn w:val="DefaultParagraphFont"/>
    <w:rsid w:val="00EF067B"/>
  </w:style>
  <w:style w:type="paragraph" w:styleId="Revision">
    <w:name w:val="Revision"/>
    <w:hidden/>
    <w:uiPriority w:val="99"/>
    <w:semiHidden/>
    <w:rsid w:val="00E51892"/>
    <w:pPr>
      <w:spacing w:after="0" w:line="240" w:lineRule="auto"/>
    </w:pPr>
    <w:rPr>
      <w:rFonts w:ascii="Times New Roman" w:eastAsia="Times New Roman" w:hAnsi="Times New Roman" w:cs="Times New Roman"/>
      <w:sz w:val="24"/>
      <w:szCs w:val="24"/>
      <w:lang w:val="ro-RO"/>
    </w:rPr>
  </w:style>
  <w:style w:type="table" w:customStyle="1" w:styleId="TableGrid1">
    <w:name w:val="Table Grid1"/>
    <w:basedOn w:val="TableNormal"/>
    <w:next w:val="TableGrid"/>
    <w:uiPriority w:val="59"/>
    <w:rsid w:val="00357FC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9561EC"/>
    <w:rPr>
      <w:color w:val="605E5C"/>
      <w:shd w:val="clear" w:color="auto" w:fill="E1DFDD"/>
    </w:rPr>
  </w:style>
  <w:style w:type="paragraph" w:customStyle="1" w:styleId="Default">
    <w:name w:val="Default"/>
    <w:rsid w:val="00406B07"/>
    <w:pPr>
      <w:autoSpaceDE w:val="0"/>
      <w:autoSpaceDN w:val="0"/>
      <w:adjustRightInd w:val="0"/>
      <w:spacing w:after="0" w:line="240" w:lineRule="auto"/>
    </w:pPr>
    <w:rPr>
      <w:rFonts w:ascii="EUAlbertina" w:hAnsi="EUAlbertina" w:cs="EUAlbertina"/>
      <w:color w:val="000000"/>
      <w:sz w:val="24"/>
      <w:szCs w:val="24"/>
    </w:rPr>
  </w:style>
  <w:style w:type="paragraph" w:styleId="NormalWeb">
    <w:name w:val="Normal (Web)"/>
    <w:basedOn w:val="Normal"/>
    <w:uiPriority w:val="99"/>
    <w:unhideWhenUsed/>
    <w:rsid w:val="005B3CAB"/>
    <w:pPr>
      <w:spacing w:before="100" w:beforeAutospacing="1" w:after="100" w:afterAutospacing="1"/>
    </w:pPr>
    <w:rPr>
      <w:lang w:eastAsia="ro-RO"/>
    </w:rPr>
  </w:style>
  <w:style w:type="paragraph" w:styleId="BodyText">
    <w:name w:val="Body Text"/>
    <w:aliases w:val="AvtalBrödtext,ändrad,Bodytext,AvtalBrodtext,andrad,EHPT,Body Text2,Body3,compact,paragraph 2,body indent,Response,- TF,Requirements,Body Text level 1,à¹×éÍàÃ×èÍ§,Compliance,code,à¹"/>
    <w:basedOn w:val="Normal"/>
    <w:link w:val="BodyTextChar"/>
    <w:rsid w:val="009545F6"/>
    <w:pPr>
      <w:spacing w:after="120"/>
    </w:pPr>
    <w:rPr>
      <w:lang w:val="x-none" w:eastAsia="x-none"/>
    </w:rPr>
  </w:style>
  <w:style w:type="character" w:customStyle="1" w:styleId="BodyTextChar">
    <w:name w:val="Body Text Char"/>
    <w:aliases w:val="AvtalBrödtext Char,ändrad Char,Bodytext Char,AvtalBrodtext Char,andrad Char,EHPT Char,Body Text2 Char,Body3 Char,compact Char,paragraph 2 Char,body indent Char,Response Char,- TF Char,Requirements Char,Body Text level 1 Char,code Char"/>
    <w:basedOn w:val="DefaultParagraphFont"/>
    <w:link w:val="BodyText"/>
    <w:rsid w:val="009545F6"/>
    <w:rPr>
      <w:rFonts w:ascii="Times New Roman" w:eastAsia="Times New Roman" w:hAnsi="Times New Roman" w:cs="Times New Roman"/>
      <w:sz w:val="24"/>
      <w:szCs w:val="24"/>
      <w:lang w:val="x-none" w:eastAsia="x-none"/>
    </w:rPr>
  </w:style>
  <w:style w:type="paragraph" w:styleId="FootnoteText">
    <w:name w:val="footnote text"/>
    <w:aliases w:val="Podrozdział,Footnote,Footnote Text Char Char,Fußnote,single space,footnote text,FOOTNOTES,fn,fn Char Char Char,fn Char Char,fn Char,Fußnote Char Char Char,Fußnote Char,Fußnote Char Char Char Char,Footnote text"/>
    <w:basedOn w:val="Normal"/>
    <w:link w:val="FootnoteTextChar"/>
    <w:qFormat/>
    <w:rsid w:val="009545F6"/>
    <w:rPr>
      <w:sz w:val="20"/>
      <w:szCs w:val="20"/>
      <w:lang w:val="en-GB"/>
    </w:rPr>
  </w:style>
  <w:style w:type="character" w:customStyle="1" w:styleId="FootnoteTextChar">
    <w:name w:val="Footnote Text Char"/>
    <w:aliases w:val="Podrozdział Char,Footnote Char,Footnote Text Char Char Char,Fußnote Char1,single space Char,footnote text Char,FOOTNOTES Char,fn Char1,fn Char Char Char Char,fn Char Char Char1,fn Char Char1,Fußnote Char Char Char Char1"/>
    <w:basedOn w:val="DefaultParagraphFont"/>
    <w:link w:val="FootnoteText"/>
    <w:rsid w:val="009545F6"/>
    <w:rPr>
      <w:rFonts w:ascii="Times New Roman" w:eastAsia="Times New Roman" w:hAnsi="Times New Roman" w:cs="Times New Roman"/>
      <w:sz w:val="20"/>
      <w:szCs w:val="20"/>
      <w:lang w:val="en-GB"/>
    </w:rPr>
  </w:style>
  <w:style w:type="character" w:styleId="FootnoteReference">
    <w:name w:val="footnote reference"/>
    <w:aliases w:val="SUPERS Char1 Char1 Char Char Char Car Char, BVI fnr Char1 Char Char Char Char Car Char,BVI fnr Char1 Char Char Char Char Car Char,Footnote symbol Char1 Char Char Char Char Car Char"/>
    <w:link w:val="SUPERSChar1Char1CharCharCharCar"/>
    <w:uiPriority w:val="99"/>
    <w:rsid w:val="009545F6"/>
    <w:rPr>
      <w:vertAlign w:val="superscript"/>
    </w:rPr>
  </w:style>
  <w:style w:type="paragraph" w:customStyle="1" w:styleId="SUPERSChar1Char1CharCharCharCar">
    <w:name w:val="SUPERS Char1 Char1 Char Char Char Car"/>
    <w:aliases w:val=" BVI fnr Char1 Char Char Char Char Car,BVI fnr Char1 Char Char Char Char Car,Footnote symbol Char1 Char Char Char Char Car,numar nota subsol Char1 Char Char Char Char Car,E Car"/>
    <w:basedOn w:val="Normal"/>
    <w:next w:val="Normal"/>
    <w:link w:val="FootnoteReference"/>
    <w:uiPriority w:val="99"/>
    <w:rsid w:val="009545F6"/>
    <w:pPr>
      <w:spacing w:after="160" w:line="240" w:lineRule="exact"/>
    </w:pPr>
    <w:rPr>
      <w:rFonts w:asciiTheme="minorHAnsi" w:eastAsiaTheme="minorHAnsi" w:hAnsiTheme="minorHAnsi" w:cstheme="minorBidi"/>
      <w:sz w:val="22"/>
      <w:szCs w:val="22"/>
      <w:vertAlign w:val="superscript"/>
      <w:lang w:val="en-US"/>
    </w:rPr>
  </w:style>
  <w:style w:type="character" w:customStyle="1" w:styleId="ListaCifreRomaneChar">
    <w:name w:val="Lista Cifre Romane Char"/>
    <w:link w:val="ListaCifreRomane"/>
    <w:locked/>
    <w:rsid w:val="009545F6"/>
    <w:rPr>
      <w:sz w:val="24"/>
      <w:szCs w:val="24"/>
      <w:lang w:val="ro-RO"/>
    </w:rPr>
  </w:style>
  <w:style w:type="paragraph" w:customStyle="1" w:styleId="ListaCifreRomane">
    <w:name w:val="Lista Cifre Romane"/>
    <w:basedOn w:val="Normal"/>
    <w:link w:val="ListaCifreRomaneChar"/>
    <w:qFormat/>
    <w:rsid w:val="009545F6"/>
    <w:pPr>
      <w:numPr>
        <w:numId w:val="17"/>
      </w:numPr>
      <w:spacing w:after="120" w:line="360" w:lineRule="auto"/>
      <w:ind w:left="924" w:hanging="357"/>
      <w:jc w:val="both"/>
    </w:pPr>
    <w:rPr>
      <w:rFonts w:asciiTheme="minorHAnsi" w:eastAsiaTheme="minorHAnsi" w:hAnsiTheme="minorHAnsi" w:cstheme="minorBidi"/>
    </w:rPr>
  </w:style>
  <w:style w:type="character" w:customStyle="1" w:styleId="ListaAChar">
    <w:name w:val="Lista A Char"/>
    <w:link w:val="ListaA"/>
    <w:locked/>
    <w:rsid w:val="009545F6"/>
    <w:rPr>
      <w:sz w:val="24"/>
      <w:szCs w:val="24"/>
      <w:lang w:val="ro-RO"/>
    </w:rPr>
  </w:style>
  <w:style w:type="paragraph" w:customStyle="1" w:styleId="ListaA">
    <w:name w:val="Lista A"/>
    <w:basedOn w:val="Normal"/>
    <w:link w:val="ListaAChar"/>
    <w:qFormat/>
    <w:rsid w:val="009545F6"/>
    <w:pPr>
      <w:numPr>
        <w:ilvl w:val="1"/>
        <w:numId w:val="19"/>
      </w:numPr>
      <w:spacing w:after="120" w:line="360" w:lineRule="auto"/>
      <w:jc w:val="both"/>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595865">
      <w:bodyDiv w:val="1"/>
      <w:marLeft w:val="0"/>
      <w:marRight w:val="0"/>
      <w:marTop w:val="0"/>
      <w:marBottom w:val="0"/>
      <w:divBdr>
        <w:top w:val="none" w:sz="0" w:space="0" w:color="auto"/>
        <w:left w:val="none" w:sz="0" w:space="0" w:color="auto"/>
        <w:bottom w:val="none" w:sz="0" w:space="0" w:color="auto"/>
        <w:right w:val="none" w:sz="0" w:space="0" w:color="auto"/>
      </w:divBdr>
    </w:div>
    <w:div w:id="168638186">
      <w:bodyDiv w:val="1"/>
      <w:marLeft w:val="0"/>
      <w:marRight w:val="0"/>
      <w:marTop w:val="0"/>
      <w:marBottom w:val="0"/>
      <w:divBdr>
        <w:top w:val="none" w:sz="0" w:space="0" w:color="auto"/>
        <w:left w:val="none" w:sz="0" w:space="0" w:color="auto"/>
        <w:bottom w:val="none" w:sz="0" w:space="0" w:color="auto"/>
        <w:right w:val="none" w:sz="0" w:space="0" w:color="auto"/>
      </w:divBdr>
    </w:div>
    <w:div w:id="186409884">
      <w:bodyDiv w:val="1"/>
      <w:marLeft w:val="0"/>
      <w:marRight w:val="0"/>
      <w:marTop w:val="0"/>
      <w:marBottom w:val="0"/>
      <w:divBdr>
        <w:top w:val="none" w:sz="0" w:space="0" w:color="auto"/>
        <w:left w:val="none" w:sz="0" w:space="0" w:color="auto"/>
        <w:bottom w:val="none" w:sz="0" w:space="0" w:color="auto"/>
        <w:right w:val="none" w:sz="0" w:space="0" w:color="auto"/>
      </w:divBdr>
    </w:div>
    <w:div w:id="196622305">
      <w:bodyDiv w:val="1"/>
      <w:marLeft w:val="0"/>
      <w:marRight w:val="0"/>
      <w:marTop w:val="0"/>
      <w:marBottom w:val="0"/>
      <w:divBdr>
        <w:top w:val="none" w:sz="0" w:space="0" w:color="auto"/>
        <w:left w:val="none" w:sz="0" w:space="0" w:color="auto"/>
        <w:bottom w:val="none" w:sz="0" w:space="0" w:color="auto"/>
        <w:right w:val="none" w:sz="0" w:space="0" w:color="auto"/>
      </w:divBdr>
    </w:div>
    <w:div w:id="264387125">
      <w:bodyDiv w:val="1"/>
      <w:marLeft w:val="0"/>
      <w:marRight w:val="0"/>
      <w:marTop w:val="0"/>
      <w:marBottom w:val="0"/>
      <w:divBdr>
        <w:top w:val="none" w:sz="0" w:space="0" w:color="auto"/>
        <w:left w:val="none" w:sz="0" w:space="0" w:color="auto"/>
        <w:bottom w:val="none" w:sz="0" w:space="0" w:color="auto"/>
        <w:right w:val="none" w:sz="0" w:space="0" w:color="auto"/>
      </w:divBdr>
    </w:div>
    <w:div w:id="274027299">
      <w:bodyDiv w:val="1"/>
      <w:marLeft w:val="0"/>
      <w:marRight w:val="0"/>
      <w:marTop w:val="0"/>
      <w:marBottom w:val="0"/>
      <w:divBdr>
        <w:top w:val="none" w:sz="0" w:space="0" w:color="auto"/>
        <w:left w:val="none" w:sz="0" w:space="0" w:color="auto"/>
        <w:bottom w:val="none" w:sz="0" w:space="0" w:color="auto"/>
        <w:right w:val="none" w:sz="0" w:space="0" w:color="auto"/>
      </w:divBdr>
    </w:div>
    <w:div w:id="341670646">
      <w:bodyDiv w:val="1"/>
      <w:marLeft w:val="0"/>
      <w:marRight w:val="0"/>
      <w:marTop w:val="0"/>
      <w:marBottom w:val="0"/>
      <w:divBdr>
        <w:top w:val="none" w:sz="0" w:space="0" w:color="auto"/>
        <w:left w:val="none" w:sz="0" w:space="0" w:color="auto"/>
        <w:bottom w:val="none" w:sz="0" w:space="0" w:color="auto"/>
        <w:right w:val="none" w:sz="0" w:space="0" w:color="auto"/>
      </w:divBdr>
    </w:div>
    <w:div w:id="373122914">
      <w:bodyDiv w:val="1"/>
      <w:marLeft w:val="0"/>
      <w:marRight w:val="0"/>
      <w:marTop w:val="0"/>
      <w:marBottom w:val="0"/>
      <w:divBdr>
        <w:top w:val="none" w:sz="0" w:space="0" w:color="auto"/>
        <w:left w:val="none" w:sz="0" w:space="0" w:color="auto"/>
        <w:bottom w:val="none" w:sz="0" w:space="0" w:color="auto"/>
        <w:right w:val="none" w:sz="0" w:space="0" w:color="auto"/>
      </w:divBdr>
    </w:div>
    <w:div w:id="398329692">
      <w:bodyDiv w:val="1"/>
      <w:marLeft w:val="0"/>
      <w:marRight w:val="0"/>
      <w:marTop w:val="0"/>
      <w:marBottom w:val="0"/>
      <w:divBdr>
        <w:top w:val="none" w:sz="0" w:space="0" w:color="auto"/>
        <w:left w:val="none" w:sz="0" w:space="0" w:color="auto"/>
        <w:bottom w:val="none" w:sz="0" w:space="0" w:color="auto"/>
        <w:right w:val="none" w:sz="0" w:space="0" w:color="auto"/>
      </w:divBdr>
    </w:div>
    <w:div w:id="435490971">
      <w:bodyDiv w:val="1"/>
      <w:marLeft w:val="0"/>
      <w:marRight w:val="0"/>
      <w:marTop w:val="0"/>
      <w:marBottom w:val="0"/>
      <w:divBdr>
        <w:top w:val="none" w:sz="0" w:space="0" w:color="auto"/>
        <w:left w:val="none" w:sz="0" w:space="0" w:color="auto"/>
        <w:bottom w:val="none" w:sz="0" w:space="0" w:color="auto"/>
        <w:right w:val="none" w:sz="0" w:space="0" w:color="auto"/>
      </w:divBdr>
    </w:div>
    <w:div w:id="472066420">
      <w:bodyDiv w:val="1"/>
      <w:marLeft w:val="0"/>
      <w:marRight w:val="0"/>
      <w:marTop w:val="0"/>
      <w:marBottom w:val="0"/>
      <w:divBdr>
        <w:top w:val="none" w:sz="0" w:space="0" w:color="auto"/>
        <w:left w:val="none" w:sz="0" w:space="0" w:color="auto"/>
        <w:bottom w:val="none" w:sz="0" w:space="0" w:color="auto"/>
        <w:right w:val="none" w:sz="0" w:space="0" w:color="auto"/>
      </w:divBdr>
    </w:div>
    <w:div w:id="648753987">
      <w:bodyDiv w:val="1"/>
      <w:marLeft w:val="0"/>
      <w:marRight w:val="0"/>
      <w:marTop w:val="0"/>
      <w:marBottom w:val="0"/>
      <w:divBdr>
        <w:top w:val="none" w:sz="0" w:space="0" w:color="auto"/>
        <w:left w:val="none" w:sz="0" w:space="0" w:color="auto"/>
        <w:bottom w:val="none" w:sz="0" w:space="0" w:color="auto"/>
        <w:right w:val="none" w:sz="0" w:space="0" w:color="auto"/>
      </w:divBdr>
    </w:div>
    <w:div w:id="655841619">
      <w:bodyDiv w:val="1"/>
      <w:marLeft w:val="0"/>
      <w:marRight w:val="0"/>
      <w:marTop w:val="0"/>
      <w:marBottom w:val="0"/>
      <w:divBdr>
        <w:top w:val="none" w:sz="0" w:space="0" w:color="auto"/>
        <w:left w:val="none" w:sz="0" w:space="0" w:color="auto"/>
        <w:bottom w:val="none" w:sz="0" w:space="0" w:color="auto"/>
        <w:right w:val="none" w:sz="0" w:space="0" w:color="auto"/>
      </w:divBdr>
    </w:div>
    <w:div w:id="724794826">
      <w:bodyDiv w:val="1"/>
      <w:marLeft w:val="0"/>
      <w:marRight w:val="0"/>
      <w:marTop w:val="0"/>
      <w:marBottom w:val="0"/>
      <w:divBdr>
        <w:top w:val="none" w:sz="0" w:space="0" w:color="auto"/>
        <w:left w:val="none" w:sz="0" w:space="0" w:color="auto"/>
        <w:bottom w:val="none" w:sz="0" w:space="0" w:color="auto"/>
        <w:right w:val="none" w:sz="0" w:space="0" w:color="auto"/>
      </w:divBdr>
    </w:div>
    <w:div w:id="821700759">
      <w:bodyDiv w:val="1"/>
      <w:marLeft w:val="0"/>
      <w:marRight w:val="0"/>
      <w:marTop w:val="0"/>
      <w:marBottom w:val="0"/>
      <w:divBdr>
        <w:top w:val="none" w:sz="0" w:space="0" w:color="auto"/>
        <w:left w:val="none" w:sz="0" w:space="0" w:color="auto"/>
        <w:bottom w:val="none" w:sz="0" w:space="0" w:color="auto"/>
        <w:right w:val="none" w:sz="0" w:space="0" w:color="auto"/>
      </w:divBdr>
    </w:div>
    <w:div w:id="953707327">
      <w:bodyDiv w:val="1"/>
      <w:marLeft w:val="0"/>
      <w:marRight w:val="0"/>
      <w:marTop w:val="0"/>
      <w:marBottom w:val="0"/>
      <w:divBdr>
        <w:top w:val="none" w:sz="0" w:space="0" w:color="auto"/>
        <w:left w:val="none" w:sz="0" w:space="0" w:color="auto"/>
        <w:bottom w:val="none" w:sz="0" w:space="0" w:color="auto"/>
        <w:right w:val="none" w:sz="0" w:space="0" w:color="auto"/>
      </w:divBdr>
    </w:div>
    <w:div w:id="1022050013">
      <w:bodyDiv w:val="1"/>
      <w:marLeft w:val="0"/>
      <w:marRight w:val="0"/>
      <w:marTop w:val="0"/>
      <w:marBottom w:val="0"/>
      <w:divBdr>
        <w:top w:val="none" w:sz="0" w:space="0" w:color="auto"/>
        <w:left w:val="none" w:sz="0" w:space="0" w:color="auto"/>
        <w:bottom w:val="none" w:sz="0" w:space="0" w:color="auto"/>
        <w:right w:val="none" w:sz="0" w:space="0" w:color="auto"/>
      </w:divBdr>
    </w:div>
    <w:div w:id="1069763157">
      <w:bodyDiv w:val="1"/>
      <w:marLeft w:val="0"/>
      <w:marRight w:val="0"/>
      <w:marTop w:val="0"/>
      <w:marBottom w:val="0"/>
      <w:divBdr>
        <w:top w:val="none" w:sz="0" w:space="0" w:color="auto"/>
        <w:left w:val="none" w:sz="0" w:space="0" w:color="auto"/>
        <w:bottom w:val="none" w:sz="0" w:space="0" w:color="auto"/>
        <w:right w:val="none" w:sz="0" w:space="0" w:color="auto"/>
      </w:divBdr>
    </w:div>
    <w:div w:id="1114708165">
      <w:bodyDiv w:val="1"/>
      <w:marLeft w:val="0"/>
      <w:marRight w:val="0"/>
      <w:marTop w:val="0"/>
      <w:marBottom w:val="0"/>
      <w:divBdr>
        <w:top w:val="none" w:sz="0" w:space="0" w:color="auto"/>
        <w:left w:val="none" w:sz="0" w:space="0" w:color="auto"/>
        <w:bottom w:val="none" w:sz="0" w:space="0" w:color="auto"/>
        <w:right w:val="none" w:sz="0" w:space="0" w:color="auto"/>
      </w:divBdr>
    </w:div>
    <w:div w:id="1135099875">
      <w:bodyDiv w:val="1"/>
      <w:marLeft w:val="0"/>
      <w:marRight w:val="0"/>
      <w:marTop w:val="0"/>
      <w:marBottom w:val="0"/>
      <w:divBdr>
        <w:top w:val="none" w:sz="0" w:space="0" w:color="auto"/>
        <w:left w:val="none" w:sz="0" w:space="0" w:color="auto"/>
        <w:bottom w:val="none" w:sz="0" w:space="0" w:color="auto"/>
        <w:right w:val="none" w:sz="0" w:space="0" w:color="auto"/>
      </w:divBdr>
    </w:div>
    <w:div w:id="1137842082">
      <w:bodyDiv w:val="1"/>
      <w:marLeft w:val="0"/>
      <w:marRight w:val="0"/>
      <w:marTop w:val="0"/>
      <w:marBottom w:val="0"/>
      <w:divBdr>
        <w:top w:val="none" w:sz="0" w:space="0" w:color="auto"/>
        <w:left w:val="none" w:sz="0" w:space="0" w:color="auto"/>
        <w:bottom w:val="none" w:sz="0" w:space="0" w:color="auto"/>
        <w:right w:val="none" w:sz="0" w:space="0" w:color="auto"/>
      </w:divBdr>
    </w:div>
    <w:div w:id="1302812629">
      <w:bodyDiv w:val="1"/>
      <w:marLeft w:val="0"/>
      <w:marRight w:val="0"/>
      <w:marTop w:val="0"/>
      <w:marBottom w:val="0"/>
      <w:divBdr>
        <w:top w:val="none" w:sz="0" w:space="0" w:color="auto"/>
        <w:left w:val="none" w:sz="0" w:space="0" w:color="auto"/>
        <w:bottom w:val="none" w:sz="0" w:space="0" w:color="auto"/>
        <w:right w:val="none" w:sz="0" w:space="0" w:color="auto"/>
      </w:divBdr>
    </w:div>
    <w:div w:id="1327518847">
      <w:bodyDiv w:val="1"/>
      <w:marLeft w:val="0"/>
      <w:marRight w:val="0"/>
      <w:marTop w:val="0"/>
      <w:marBottom w:val="0"/>
      <w:divBdr>
        <w:top w:val="none" w:sz="0" w:space="0" w:color="auto"/>
        <w:left w:val="none" w:sz="0" w:space="0" w:color="auto"/>
        <w:bottom w:val="none" w:sz="0" w:space="0" w:color="auto"/>
        <w:right w:val="none" w:sz="0" w:space="0" w:color="auto"/>
      </w:divBdr>
    </w:div>
    <w:div w:id="1413354410">
      <w:bodyDiv w:val="1"/>
      <w:marLeft w:val="0"/>
      <w:marRight w:val="0"/>
      <w:marTop w:val="0"/>
      <w:marBottom w:val="0"/>
      <w:divBdr>
        <w:top w:val="none" w:sz="0" w:space="0" w:color="auto"/>
        <w:left w:val="none" w:sz="0" w:space="0" w:color="auto"/>
        <w:bottom w:val="none" w:sz="0" w:space="0" w:color="auto"/>
        <w:right w:val="none" w:sz="0" w:space="0" w:color="auto"/>
      </w:divBdr>
    </w:div>
    <w:div w:id="1470589820">
      <w:bodyDiv w:val="1"/>
      <w:marLeft w:val="0"/>
      <w:marRight w:val="0"/>
      <w:marTop w:val="0"/>
      <w:marBottom w:val="0"/>
      <w:divBdr>
        <w:top w:val="none" w:sz="0" w:space="0" w:color="auto"/>
        <w:left w:val="none" w:sz="0" w:space="0" w:color="auto"/>
        <w:bottom w:val="none" w:sz="0" w:space="0" w:color="auto"/>
        <w:right w:val="none" w:sz="0" w:space="0" w:color="auto"/>
      </w:divBdr>
    </w:div>
    <w:div w:id="1484353612">
      <w:bodyDiv w:val="1"/>
      <w:marLeft w:val="0"/>
      <w:marRight w:val="0"/>
      <w:marTop w:val="0"/>
      <w:marBottom w:val="0"/>
      <w:divBdr>
        <w:top w:val="none" w:sz="0" w:space="0" w:color="auto"/>
        <w:left w:val="none" w:sz="0" w:space="0" w:color="auto"/>
        <w:bottom w:val="none" w:sz="0" w:space="0" w:color="auto"/>
        <w:right w:val="none" w:sz="0" w:space="0" w:color="auto"/>
      </w:divBdr>
    </w:div>
    <w:div w:id="1487282297">
      <w:bodyDiv w:val="1"/>
      <w:marLeft w:val="0"/>
      <w:marRight w:val="0"/>
      <w:marTop w:val="0"/>
      <w:marBottom w:val="0"/>
      <w:divBdr>
        <w:top w:val="none" w:sz="0" w:space="0" w:color="auto"/>
        <w:left w:val="none" w:sz="0" w:space="0" w:color="auto"/>
        <w:bottom w:val="none" w:sz="0" w:space="0" w:color="auto"/>
        <w:right w:val="none" w:sz="0" w:space="0" w:color="auto"/>
      </w:divBdr>
    </w:div>
    <w:div w:id="1576210594">
      <w:bodyDiv w:val="1"/>
      <w:marLeft w:val="0"/>
      <w:marRight w:val="0"/>
      <w:marTop w:val="0"/>
      <w:marBottom w:val="0"/>
      <w:divBdr>
        <w:top w:val="none" w:sz="0" w:space="0" w:color="auto"/>
        <w:left w:val="none" w:sz="0" w:space="0" w:color="auto"/>
        <w:bottom w:val="none" w:sz="0" w:space="0" w:color="auto"/>
        <w:right w:val="none" w:sz="0" w:space="0" w:color="auto"/>
      </w:divBdr>
    </w:div>
    <w:div w:id="1603996462">
      <w:bodyDiv w:val="1"/>
      <w:marLeft w:val="0"/>
      <w:marRight w:val="0"/>
      <w:marTop w:val="0"/>
      <w:marBottom w:val="0"/>
      <w:divBdr>
        <w:top w:val="none" w:sz="0" w:space="0" w:color="auto"/>
        <w:left w:val="none" w:sz="0" w:space="0" w:color="auto"/>
        <w:bottom w:val="none" w:sz="0" w:space="0" w:color="auto"/>
        <w:right w:val="none" w:sz="0" w:space="0" w:color="auto"/>
      </w:divBdr>
    </w:div>
    <w:div w:id="1623031635">
      <w:bodyDiv w:val="1"/>
      <w:marLeft w:val="0"/>
      <w:marRight w:val="0"/>
      <w:marTop w:val="0"/>
      <w:marBottom w:val="0"/>
      <w:divBdr>
        <w:top w:val="none" w:sz="0" w:space="0" w:color="auto"/>
        <w:left w:val="none" w:sz="0" w:space="0" w:color="auto"/>
        <w:bottom w:val="none" w:sz="0" w:space="0" w:color="auto"/>
        <w:right w:val="none" w:sz="0" w:space="0" w:color="auto"/>
      </w:divBdr>
    </w:div>
    <w:div w:id="1659847536">
      <w:bodyDiv w:val="1"/>
      <w:marLeft w:val="0"/>
      <w:marRight w:val="0"/>
      <w:marTop w:val="0"/>
      <w:marBottom w:val="0"/>
      <w:divBdr>
        <w:top w:val="none" w:sz="0" w:space="0" w:color="auto"/>
        <w:left w:val="none" w:sz="0" w:space="0" w:color="auto"/>
        <w:bottom w:val="none" w:sz="0" w:space="0" w:color="auto"/>
        <w:right w:val="none" w:sz="0" w:space="0" w:color="auto"/>
      </w:divBdr>
    </w:div>
    <w:div w:id="1678727019">
      <w:bodyDiv w:val="1"/>
      <w:marLeft w:val="0"/>
      <w:marRight w:val="0"/>
      <w:marTop w:val="0"/>
      <w:marBottom w:val="0"/>
      <w:divBdr>
        <w:top w:val="none" w:sz="0" w:space="0" w:color="auto"/>
        <w:left w:val="none" w:sz="0" w:space="0" w:color="auto"/>
        <w:bottom w:val="none" w:sz="0" w:space="0" w:color="auto"/>
        <w:right w:val="none" w:sz="0" w:space="0" w:color="auto"/>
      </w:divBdr>
    </w:div>
    <w:div w:id="1678927333">
      <w:bodyDiv w:val="1"/>
      <w:marLeft w:val="0"/>
      <w:marRight w:val="0"/>
      <w:marTop w:val="0"/>
      <w:marBottom w:val="0"/>
      <w:divBdr>
        <w:top w:val="none" w:sz="0" w:space="0" w:color="auto"/>
        <w:left w:val="none" w:sz="0" w:space="0" w:color="auto"/>
        <w:bottom w:val="none" w:sz="0" w:space="0" w:color="auto"/>
        <w:right w:val="none" w:sz="0" w:space="0" w:color="auto"/>
      </w:divBdr>
    </w:div>
    <w:div w:id="1700545194">
      <w:bodyDiv w:val="1"/>
      <w:marLeft w:val="0"/>
      <w:marRight w:val="0"/>
      <w:marTop w:val="0"/>
      <w:marBottom w:val="0"/>
      <w:divBdr>
        <w:top w:val="none" w:sz="0" w:space="0" w:color="auto"/>
        <w:left w:val="none" w:sz="0" w:space="0" w:color="auto"/>
        <w:bottom w:val="none" w:sz="0" w:space="0" w:color="auto"/>
        <w:right w:val="none" w:sz="0" w:space="0" w:color="auto"/>
      </w:divBdr>
    </w:div>
    <w:div w:id="1772241865">
      <w:bodyDiv w:val="1"/>
      <w:marLeft w:val="0"/>
      <w:marRight w:val="0"/>
      <w:marTop w:val="0"/>
      <w:marBottom w:val="0"/>
      <w:divBdr>
        <w:top w:val="none" w:sz="0" w:space="0" w:color="auto"/>
        <w:left w:val="none" w:sz="0" w:space="0" w:color="auto"/>
        <w:bottom w:val="none" w:sz="0" w:space="0" w:color="auto"/>
        <w:right w:val="none" w:sz="0" w:space="0" w:color="auto"/>
      </w:divBdr>
    </w:div>
    <w:div w:id="1821916945">
      <w:bodyDiv w:val="1"/>
      <w:marLeft w:val="0"/>
      <w:marRight w:val="0"/>
      <w:marTop w:val="0"/>
      <w:marBottom w:val="0"/>
      <w:divBdr>
        <w:top w:val="none" w:sz="0" w:space="0" w:color="auto"/>
        <w:left w:val="none" w:sz="0" w:space="0" w:color="auto"/>
        <w:bottom w:val="none" w:sz="0" w:space="0" w:color="auto"/>
        <w:right w:val="none" w:sz="0" w:space="0" w:color="auto"/>
      </w:divBdr>
    </w:div>
    <w:div w:id="1845515503">
      <w:bodyDiv w:val="1"/>
      <w:marLeft w:val="0"/>
      <w:marRight w:val="0"/>
      <w:marTop w:val="0"/>
      <w:marBottom w:val="0"/>
      <w:divBdr>
        <w:top w:val="none" w:sz="0" w:space="0" w:color="auto"/>
        <w:left w:val="none" w:sz="0" w:space="0" w:color="auto"/>
        <w:bottom w:val="none" w:sz="0" w:space="0" w:color="auto"/>
        <w:right w:val="none" w:sz="0" w:space="0" w:color="auto"/>
      </w:divBdr>
    </w:div>
    <w:div w:id="1915048623">
      <w:bodyDiv w:val="1"/>
      <w:marLeft w:val="0"/>
      <w:marRight w:val="0"/>
      <w:marTop w:val="0"/>
      <w:marBottom w:val="0"/>
      <w:divBdr>
        <w:top w:val="none" w:sz="0" w:space="0" w:color="auto"/>
        <w:left w:val="none" w:sz="0" w:space="0" w:color="auto"/>
        <w:bottom w:val="none" w:sz="0" w:space="0" w:color="auto"/>
        <w:right w:val="none" w:sz="0" w:space="0" w:color="auto"/>
      </w:divBdr>
    </w:div>
    <w:div w:id="207343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gisplus.ro/Intralegis6/oficiale/afis.php?f=245782&amp;datavig=2021-10-12&amp;datav=2021-10-12&amp;dataact=&amp;showLM=&amp;modBefor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fe.gov.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D977D2-05E5-46A7-8968-53366E9BC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14</Pages>
  <Words>6320</Words>
  <Characters>36029</Characters>
  <Application>Microsoft Office Word</Application>
  <DocSecurity>0</DocSecurity>
  <Lines>300</Lines>
  <Paragraphs>84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42265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IULIANA-MIHAELA CERNAZEANU</dc:creator>
  <cp:lastModifiedBy>Consuela Stegarescu</cp:lastModifiedBy>
  <cp:revision>4</cp:revision>
  <cp:lastPrinted>2022-08-09T07:37:00Z</cp:lastPrinted>
  <dcterms:created xsi:type="dcterms:W3CDTF">2022-08-08T08:48:00Z</dcterms:created>
  <dcterms:modified xsi:type="dcterms:W3CDTF">2022-08-10T10:33:00Z</dcterms:modified>
</cp:coreProperties>
</file>